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B69AA" w14:textId="77777777" w:rsidR="00F36280" w:rsidRDefault="00F36280" w:rsidP="00F36280">
      <w:pPr>
        <w:jc w:val="right"/>
        <w:rPr>
          <w:rFonts w:ascii="Bookman Old Style" w:hAnsi="Bookman Old Style" w:cstheme="minorHAnsi"/>
          <w:b/>
          <w:sz w:val="20"/>
          <w:szCs w:val="20"/>
        </w:rPr>
      </w:pPr>
      <w:bookmarkStart w:id="0" w:name="_GoBack"/>
      <w:bookmarkEnd w:id="0"/>
    </w:p>
    <w:p w14:paraId="4A119080" w14:textId="77777777" w:rsidR="00F36280" w:rsidRDefault="00F36280" w:rsidP="00F36280">
      <w:pPr>
        <w:jc w:val="right"/>
        <w:rPr>
          <w:rFonts w:ascii="Bookman Old Style" w:hAnsi="Bookman Old Style" w:cstheme="minorHAnsi"/>
          <w:b/>
        </w:rPr>
      </w:pPr>
    </w:p>
    <w:p w14:paraId="6BD66D04" w14:textId="77777777" w:rsidR="004D2009" w:rsidRDefault="004D2009" w:rsidP="00F36280">
      <w:pPr>
        <w:jc w:val="right"/>
        <w:rPr>
          <w:rFonts w:ascii="Bookman Old Style" w:hAnsi="Bookman Old Style" w:cstheme="minorHAnsi"/>
          <w:b/>
        </w:rPr>
      </w:pPr>
    </w:p>
    <w:p w14:paraId="1EE14E27" w14:textId="1A954721" w:rsidR="00F36280" w:rsidRPr="00485CC5" w:rsidRDefault="002921B3" w:rsidP="00F36280">
      <w:pPr>
        <w:jc w:val="right"/>
        <w:rPr>
          <w:rFonts w:ascii="Bookman Old Style" w:hAnsi="Bookman Old Style" w:cstheme="minorHAnsi"/>
          <w:b/>
        </w:rPr>
      </w:pPr>
      <w:r>
        <w:rPr>
          <w:rFonts w:ascii="Bookman Old Style" w:hAnsi="Bookman Old Style" w:cstheme="minorHAnsi"/>
          <w:b/>
        </w:rPr>
        <w:t>Bogotá D.C., 20 de julio de 202</w:t>
      </w:r>
      <w:r w:rsidR="00FE4E72">
        <w:rPr>
          <w:rFonts w:ascii="Bookman Old Style" w:hAnsi="Bookman Old Style" w:cstheme="minorHAnsi"/>
          <w:b/>
        </w:rPr>
        <w:t>2</w:t>
      </w:r>
    </w:p>
    <w:p w14:paraId="447FE4DE" w14:textId="77777777" w:rsidR="00F36280" w:rsidRDefault="00F36280" w:rsidP="00F36280">
      <w:pPr>
        <w:rPr>
          <w:rFonts w:ascii="Bookman Old Style" w:hAnsi="Bookman Old Style" w:cstheme="minorHAnsi"/>
          <w:b/>
        </w:rPr>
      </w:pPr>
    </w:p>
    <w:p w14:paraId="797BE30D" w14:textId="77777777" w:rsidR="00470AE7" w:rsidRPr="00485CC5" w:rsidRDefault="00470AE7" w:rsidP="00F36280">
      <w:pPr>
        <w:rPr>
          <w:rFonts w:ascii="Bookman Old Style" w:hAnsi="Bookman Old Style" w:cstheme="minorHAnsi"/>
        </w:rPr>
      </w:pPr>
    </w:p>
    <w:p w14:paraId="20C251BA" w14:textId="77777777" w:rsidR="00F36280" w:rsidRPr="00485CC5" w:rsidRDefault="00F36280" w:rsidP="00F36280">
      <w:pPr>
        <w:rPr>
          <w:rFonts w:ascii="Bookman Old Style" w:hAnsi="Bookman Old Style" w:cstheme="minorHAnsi"/>
        </w:rPr>
      </w:pPr>
    </w:p>
    <w:p w14:paraId="59C6048A"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Doctor</w:t>
      </w:r>
    </w:p>
    <w:p w14:paraId="1DC843BD" w14:textId="21059171" w:rsidR="00F36280" w:rsidRPr="00ED7616" w:rsidRDefault="00ED7616" w:rsidP="00F36280">
      <w:pPr>
        <w:rPr>
          <w:rFonts w:ascii="Bookman Old Style" w:hAnsi="Bookman Old Style" w:cstheme="minorHAnsi"/>
          <w:b/>
          <w:bCs/>
        </w:rPr>
      </w:pPr>
      <w:r w:rsidRPr="00ED7616">
        <w:rPr>
          <w:rFonts w:ascii="Bookman Old Style" w:hAnsi="Bookman Old Style" w:cstheme="minorHAnsi"/>
          <w:b/>
          <w:bCs/>
        </w:rPr>
        <w:t xml:space="preserve">SECRETARIO GENERAL </w:t>
      </w:r>
    </w:p>
    <w:p w14:paraId="26DB6801"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Honorable Cámara de Representantes</w:t>
      </w:r>
    </w:p>
    <w:p w14:paraId="4A31A6A2"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Ciudad </w:t>
      </w:r>
    </w:p>
    <w:p w14:paraId="6DD27E7F" w14:textId="77777777" w:rsidR="00F36280" w:rsidRPr="00485CC5" w:rsidRDefault="00F36280" w:rsidP="00F36280">
      <w:pPr>
        <w:rPr>
          <w:rFonts w:ascii="Bookman Old Style" w:hAnsi="Bookman Old Style" w:cstheme="minorHAnsi"/>
          <w:b/>
        </w:rPr>
      </w:pPr>
    </w:p>
    <w:p w14:paraId="3F4BD2A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18FA7B7" w14:textId="77777777" w:rsidR="00F36280" w:rsidRPr="00485CC5" w:rsidRDefault="00F36280" w:rsidP="00F36280">
      <w:pPr>
        <w:jc w:val="right"/>
        <w:rPr>
          <w:rFonts w:ascii="Bookman Old Style" w:hAnsi="Bookman Old Style" w:cstheme="minorHAnsi"/>
          <w:b/>
        </w:rPr>
      </w:pPr>
      <w:r w:rsidRPr="00485CC5">
        <w:rPr>
          <w:rFonts w:ascii="Bookman Old Style" w:hAnsi="Bookman Old Style" w:cstheme="minorHAnsi"/>
          <w:b/>
        </w:rPr>
        <w:t xml:space="preserve">REF: RADICACIÓN PROYECTO DE </w:t>
      </w:r>
      <w:r w:rsidR="006B01C7">
        <w:rPr>
          <w:rFonts w:ascii="Bookman Old Style" w:hAnsi="Bookman Old Style" w:cstheme="minorHAnsi"/>
          <w:b/>
        </w:rPr>
        <w:t>ACTO LEGISLATIVO</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65FFDF7D" w14:textId="0745DE9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En nuestra condición de miembros del Congreso de la República y en uso del derecho consagrado en el artículo 15</w:t>
      </w:r>
      <w:r w:rsidR="0013321A">
        <w:rPr>
          <w:rFonts w:ascii="Bookman Old Style" w:hAnsi="Bookman Old Style" w:cstheme="minorHAnsi"/>
        </w:rPr>
        <w:t>0</w:t>
      </w:r>
      <w:r w:rsidRPr="00485CC5">
        <w:rPr>
          <w:rFonts w:ascii="Bookman Old Style" w:hAnsi="Bookman Old Style" w:cstheme="minorHAnsi"/>
        </w:rPr>
        <w:t xml:space="preserve"> de la Constitución Política de Colombia, por su digno conducto nos permitimos poner a consideración de la Honorable Cámara de Representantes el siguiente proyecto de </w:t>
      </w:r>
      <w:r w:rsidR="00AD56C3">
        <w:rPr>
          <w:rFonts w:ascii="Bookman Old Style" w:hAnsi="Bookman Old Style" w:cstheme="minorHAnsi"/>
        </w:rPr>
        <w:t>acto legislativo</w:t>
      </w:r>
      <w:r w:rsidRPr="00485CC5">
        <w:rPr>
          <w:rFonts w:ascii="Bookman Old Style" w:hAnsi="Bookman Old Style" w:cstheme="minorHAnsi"/>
        </w:rPr>
        <w:t xml:space="preserve"> “</w:t>
      </w:r>
      <w:r w:rsidRPr="00485CC5">
        <w:rPr>
          <w:rFonts w:ascii="Bookman Old Style" w:hAnsi="Bookman Old Style" w:cstheme="minorHAnsi"/>
          <w:i/>
          <w:iCs/>
        </w:rPr>
        <w:t>Por medio del cual se modifica el artículo 49 de la Constitución Política de Colombia y se regulariza Cannabis</w:t>
      </w:r>
      <w:r w:rsidR="00E83A56">
        <w:rPr>
          <w:rFonts w:ascii="Bookman Old Style" w:hAnsi="Bookman Old Style" w:cstheme="minorHAnsi"/>
          <w:i/>
          <w:iCs/>
        </w:rPr>
        <w:t xml:space="preserve"> de uso adulto</w:t>
      </w:r>
      <w:r w:rsidRPr="00485CC5">
        <w:rPr>
          <w:rFonts w:ascii="Bookman Old Style" w:hAnsi="Bookman Old Style" w:cstheme="minorHAnsi"/>
        </w:rPr>
        <w:t>”.</w:t>
      </w:r>
      <w:r w:rsidR="00111B26">
        <w:rPr>
          <w:rFonts w:ascii="Bookman Old Style" w:hAnsi="Bookman Old Style" w:cstheme="minorHAnsi"/>
        </w:rPr>
        <w:t xml:space="preserve"> </w:t>
      </w:r>
      <w:r w:rsidR="00111B26" w:rsidRPr="00DD5051">
        <w:rPr>
          <w:rFonts w:ascii="Bookman Old Style" w:hAnsi="Bookman Old Style" w:cstheme="minorHAnsi"/>
          <w:b/>
          <w:bCs/>
        </w:rPr>
        <w:t>(Cannabis</w:t>
      </w:r>
      <w:r w:rsidR="00DD5051">
        <w:rPr>
          <w:rFonts w:ascii="Bookman Old Style" w:hAnsi="Bookman Old Style" w:cstheme="minorHAnsi"/>
          <w:b/>
          <w:bCs/>
        </w:rPr>
        <w:t xml:space="preserve"> de uso adulto</w:t>
      </w:r>
      <w:r w:rsidR="00111B26" w:rsidRPr="00DD5051">
        <w:rPr>
          <w:rFonts w:ascii="Bookman Old Style" w:hAnsi="Bookman Old Style" w:cstheme="minorHAnsi"/>
          <w:b/>
          <w:bCs/>
        </w:rPr>
        <w:t>)</w:t>
      </w:r>
    </w:p>
    <w:p w14:paraId="242DAAAF" w14:textId="77777777" w:rsidR="00F36280" w:rsidRPr="00485CC5" w:rsidRDefault="00F36280" w:rsidP="00F36280">
      <w:pPr>
        <w:jc w:val="both"/>
        <w:rPr>
          <w:rFonts w:ascii="Bookman Old Style" w:hAnsi="Bookman Old Style" w:cstheme="minorHAnsi"/>
        </w:rPr>
      </w:pPr>
    </w:p>
    <w:p w14:paraId="06F9C11D" w14:textId="77777777" w:rsidR="00F36280" w:rsidRPr="00485CC5" w:rsidRDefault="00F36280" w:rsidP="00F36280">
      <w:pPr>
        <w:jc w:val="both"/>
        <w:rPr>
          <w:rFonts w:ascii="Bookman Old Style" w:hAnsi="Bookman Old Style" w:cstheme="minorHAnsi"/>
        </w:rPr>
      </w:pPr>
    </w:p>
    <w:p w14:paraId="3672183A"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521846BB" w14:textId="1C211CDB" w:rsidR="00F36280" w:rsidRDefault="00F36280" w:rsidP="00F36280">
      <w:pPr>
        <w:rPr>
          <w:rFonts w:ascii="Bookman Old Style" w:hAnsi="Bookman Old Style" w:cstheme="minorHAnsi"/>
          <w:b/>
        </w:rPr>
      </w:pPr>
    </w:p>
    <w:p w14:paraId="3D5CAE56" w14:textId="2CEB0DB5" w:rsidR="004D2009" w:rsidRDefault="004D2009" w:rsidP="00F36280">
      <w:pPr>
        <w:rPr>
          <w:rFonts w:ascii="Bookman Old Style" w:hAnsi="Bookman Old Style" w:cstheme="minorHAnsi"/>
          <w:b/>
        </w:rPr>
      </w:pPr>
    </w:p>
    <w:p w14:paraId="50799C90" w14:textId="647828E9" w:rsidR="004D2009" w:rsidRDefault="004D2009" w:rsidP="00F36280">
      <w:pPr>
        <w:rPr>
          <w:rFonts w:ascii="Bookman Old Style" w:hAnsi="Bookman Old Style" w:cstheme="minorHAnsi"/>
          <w:b/>
        </w:rPr>
      </w:pPr>
    </w:p>
    <w:p w14:paraId="70C6625C" w14:textId="4E8460A5" w:rsidR="004D2009" w:rsidRDefault="004D2009" w:rsidP="00F36280">
      <w:pPr>
        <w:rPr>
          <w:rFonts w:ascii="Bookman Old Style" w:hAnsi="Bookman Old Style" w:cstheme="minorHAnsi"/>
          <w:b/>
        </w:rPr>
      </w:pPr>
    </w:p>
    <w:p w14:paraId="0CD2EE76" w14:textId="1AC07A01" w:rsidR="004D2009" w:rsidRDefault="004D2009" w:rsidP="00F36280">
      <w:pPr>
        <w:rPr>
          <w:rFonts w:ascii="Bookman Old Style" w:hAnsi="Bookman Old Style" w:cstheme="minorHAnsi"/>
          <w:b/>
        </w:rPr>
      </w:pPr>
    </w:p>
    <w:p w14:paraId="54811F76" w14:textId="0DA52D38" w:rsidR="004D2009" w:rsidRDefault="004D2009" w:rsidP="00F36280">
      <w:pPr>
        <w:rPr>
          <w:rFonts w:ascii="Bookman Old Style" w:hAnsi="Bookman Old Style" w:cstheme="minorHAnsi"/>
          <w:b/>
        </w:rPr>
      </w:pPr>
    </w:p>
    <w:p w14:paraId="4AAE1C32" w14:textId="147C7B04" w:rsidR="004D2009" w:rsidRDefault="004D2009" w:rsidP="00F36280">
      <w:pPr>
        <w:rPr>
          <w:rFonts w:ascii="Bookman Old Style" w:hAnsi="Bookman Old Style" w:cstheme="minorHAnsi"/>
          <w:b/>
        </w:rPr>
      </w:pPr>
    </w:p>
    <w:p w14:paraId="331F4DE1" w14:textId="20D98DB4" w:rsidR="004D2009" w:rsidRDefault="004D2009" w:rsidP="00F36280">
      <w:pPr>
        <w:rPr>
          <w:rFonts w:ascii="Bookman Old Style" w:hAnsi="Bookman Old Style" w:cstheme="minorHAnsi"/>
          <w:b/>
        </w:rPr>
      </w:pPr>
    </w:p>
    <w:p w14:paraId="46CB86E1" w14:textId="0902377D" w:rsidR="004D2009" w:rsidRDefault="004D2009" w:rsidP="00F36280">
      <w:pPr>
        <w:rPr>
          <w:rFonts w:ascii="Bookman Old Style" w:hAnsi="Bookman Old Style" w:cstheme="minorHAnsi"/>
          <w:b/>
        </w:rPr>
      </w:pPr>
    </w:p>
    <w:p w14:paraId="5F400FE2"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37AE4398"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35177068" w14:textId="52FB717A"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133D2CC4" w14:textId="77777777" w:rsidR="004D2009" w:rsidRPr="00485CC5" w:rsidRDefault="004D2009" w:rsidP="004D2009">
      <w:pPr>
        <w:jc w:val="center"/>
        <w:rPr>
          <w:rFonts w:ascii="Bookman Old Style" w:hAnsi="Bookman Old Style" w:cstheme="minorHAnsi"/>
          <w:b/>
        </w:rPr>
      </w:pPr>
    </w:p>
    <w:p w14:paraId="01EB2D36" w14:textId="77777777" w:rsidR="0013321A" w:rsidRDefault="0013321A" w:rsidP="00621929">
      <w:pPr>
        <w:pBdr>
          <w:top w:val="nil"/>
          <w:left w:val="nil"/>
          <w:bottom w:val="nil"/>
          <w:right w:val="nil"/>
          <w:between w:val="nil"/>
        </w:pBdr>
        <w:ind w:right="115"/>
        <w:rPr>
          <w:rFonts w:ascii="Bookman Old Style" w:hAnsi="Bookman Old Style" w:cstheme="minorHAnsi"/>
          <w:b/>
          <w:sz w:val="24"/>
          <w:szCs w:val="24"/>
        </w:rPr>
      </w:pPr>
    </w:p>
    <w:p w14:paraId="3B7A9FB5" w14:textId="6A4DB1E0"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41ADD762" w14:textId="452CB1DA"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5EAFDD92" w14:textId="29CA4BC8"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50C9FF49" w14:textId="7053863B"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4F518928" w14:textId="0607A9F6"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6F100174" w14:textId="5414BD18"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6B163BDC" w14:textId="77777777" w:rsidR="004D2009" w:rsidRPr="004D2009" w:rsidRDefault="004D2009" w:rsidP="004D2009">
      <w:pPr>
        <w:widowControl/>
        <w:spacing w:after="240"/>
        <w:rPr>
          <w:color w:val="000000"/>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88"/>
        <w:gridCol w:w="4140"/>
      </w:tblGrid>
      <w:tr w:rsidR="006A0E61" w:rsidRPr="000270E3" w14:paraId="18BF511B"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CF47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lastRenderedPageBreak/>
              <w:t>ALEJANDRO VEGA PÉREZ</w:t>
            </w:r>
          </w:p>
          <w:p w14:paraId="0EBBBCB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5343B4D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5C500"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DAVID LÓPEZ TENORIO</w:t>
            </w:r>
          </w:p>
          <w:p w14:paraId="2B236512"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Valle del Cauca</w:t>
            </w:r>
          </w:p>
          <w:p w14:paraId="07E935B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6A0E61" w:rsidRPr="000270E3" w14:paraId="01E03C2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A41D1"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JAIME RODRIGUEZ CONTRERAS</w:t>
            </w:r>
          </w:p>
          <w:p w14:paraId="3DFBA26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9921B1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CDFB0"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217E35BC" w14:textId="14924895" w:rsidR="006A0E61" w:rsidRPr="000270E3" w:rsidRDefault="000270E3" w:rsidP="000270E3">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6A0E61" w:rsidRPr="000270E3" w14:paraId="28DEA1A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F706E"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7829007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58044453"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48460" w14:textId="77777777" w:rsidR="00B91948" w:rsidRPr="000270E3" w:rsidRDefault="00B91948" w:rsidP="00B91948">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5AB75B0C" w14:textId="77777777" w:rsidR="00B91948" w:rsidRPr="000270E3" w:rsidRDefault="00B91948" w:rsidP="00B91948">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AF234C1" w14:textId="472CD09F" w:rsidR="006A0E61" w:rsidRPr="000270E3" w:rsidRDefault="00B91948" w:rsidP="00B91948">
            <w:pPr>
              <w:widowControl/>
              <w:spacing w:after="24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r>
      <w:tr w:rsidR="006A0E61" w:rsidRPr="000270E3" w14:paraId="5A1AE84D"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ED0FA" w14:textId="77777777" w:rsidR="00B91948" w:rsidRPr="000270E3" w:rsidRDefault="00B91948" w:rsidP="00B91948">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4D4698AF" w14:textId="116F0173" w:rsidR="006A0E61" w:rsidRPr="000270E3" w:rsidRDefault="00B91948" w:rsidP="00B91948">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53055"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7A1C1EB1"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3D26935" w14:textId="77777777" w:rsidR="006A0E61" w:rsidRPr="000270E3" w:rsidRDefault="006A0E61" w:rsidP="00F067D5">
            <w:pPr>
              <w:widowControl/>
              <w:rPr>
                <w:rFonts w:ascii="Bookman Old Style" w:hAnsi="Bookman Old Style"/>
                <w:sz w:val="20"/>
                <w:szCs w:val="20"/>
                <w:lang w:eastAsia="es-MX"/>
              </w:rPr>
            </w:pPr>
          </w:p>
        </w:tc>
      </w:tr>
      <w:tr w:rsidR="006A0E61" w:rsidRPr="000270E3" w14:paraId="3046B43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9C317"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510E16F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24947BE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F0772"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4E2D886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3D728D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6A0E61" w:rsidRPr="000270E3" w14:paraId="4E8EDAE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44582" w14:textId="3457E45B"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2FEB4480"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FAFA5C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A272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3EBD7423"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51D428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6A0E61" w:rsidRPr="000270E3" w14:paraId="6E2F87C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059E" w14:textId="77777777" w:rsidR="006A0E61" w:rsidRPr="000270E3" w:rsidRDefault="006A0E61" w:rsidP="00F067D5">
            <w:pPr>
              <w:widowControl/>
              <w:rPr>
                <w:rFonts w:ascii="Bookman Old Style" w:hAnsi="Bookman Old Style"/>
                <w:sz w:val="20"/>
                <w:szCs w:val="20"/>
                <w:lang w:eastAsia="es-MX"/>
              </w:rPr>
            </w:pPr>
          </w:p>
          <w:p w14:paraId="5FF16A9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4B932E2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85E34F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35E79" w14:textId="77777777" w:rsidR="006A0E61" w:rsidRPr="000270E3" w:rsidRDefault="006A0E61" w:rsidP="00F067D5">
            <w:pPr>
              <w:widowControl/>
              <w:rPr>
                <w:rFonts w:ascii="Bookman Old Style" w:hAnsi="Bookman Old Style"/>
                <w:sz w:val="20"/>
                <w:szCs w:val="20"/>
                <w:lang w:eastAsia="es-MX"/>
              </w:rPr>
            </w:pPr>
          </w:p>
          <w:p w14:paraId="44EC00E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2CEB798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0A32782"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6A0E61" w:rsidRPr="000270E3" w14:paraId="5E7852C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228B0" w14:textId="77777777" w:rsidR="006A0E61" w:rsidRPr="000270E3" w:rsidRDefault="006A0E61" w:rsidP="00F067D5">
            <w:pPr>
              <w:widowControl/>
              <w:rPr>
                <w:rFonts w:ascii="Bookman Old Style" w:hAnsi="Bookman Old Style"/>
                <w:sz w:val="20"/>
                <w:szCs w:val="20"/>
                <w:lang w:eastAsia="es-MX"/>
              </w:rPr>
            </w:pPr>
          </w:p>
          <w:p w14:paraId="6D3FC47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42613C4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753815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3B03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44EC874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10E58F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6A0E61" w:rsidRPr="000270E3" w14:paraId="6372334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335CD" w14:textId="77777777" w:rsidR="006A0E61" w:rsidRPr="000270E3" w:rsidRDefault="006A0E61" w:rsidP="000270E3">
            <w:pPr>
              <w:widowControl/>
              <w:rPr>
                <w:rFonts w:ascii="Bookman Old Style" w:hAnsi="Bookman Old Style"/>
                <w:sz w:val="20"/>
                <w:szCs w:val="20"/>
                <w:lang w:eastAsia="es-MX"/>
              </w:rPr>
            </w:pPr>
          </w:p>
          <w:p w14:paraId="33D3FA4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6635328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1E17DB4"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02F7D" w14:textId="77777777" w:rsidR="006A0E61" w:rsidRPr="000270E3" w:rsidRDefault="006A0E61" w:rsidP="00F067D5">
            <w:pPr>
              <w:widowControl/>
              <w:jc w:val="center"/>
              <w:rPr>
                <w:rFonts w:ascii="Bookman Old Style" w:hAnsi="Bookman Old Style"/>
                <w:sz w:val="20"/>
                <w:szCs w:val="20"/>
                <w:lang w:eastAsia="es-MX"/>
              </w:rPr>
            </w:pPr>
          </w:p>
          <w:p w14:paraId="364ACB1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6E5E14C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A503E4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6A0E61" w:rsidRPr="000270E3" w14:paraId="399D8E0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65D46"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p>
          <w:p w14:paraId="6DD5138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225B1EB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1CB682A4" w14:textId="77777777" w:rsidR="006A0E61" w:rsidRPr="000270E3" w:rsidRDefault="006A0E61"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E827B"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47A0654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6F5B12C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13ECA4BB"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78784936" w14:textId="77777777" w:rsidR="006A0E61" w:rsidRPr="000270E3" w:rsidRDefault="006A0E61" w:rsidP="00F067D5">
            <w:pPr>
              <w:widowControl/>
              <w:jc w:val="center"/>
              <w:rPr>
                <w:rFonts w:ascii="Bookman Old Style" w:hAnsi="Bookman Old Style"/>
                <w:sz w:val="20"/>
                <w:szCs w:val="20"/>
                <w:lang w:eastAsia="es-MX"/>
              </w:rPr>
            </w:pPr>
          </w:p>
        </w:tc>
      </w:tr>
      <w:tr w:rsidR="006A0E61" w:rsidRPr="000270E3" w14:paraId="21A98FC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E77B1" w14:textId="77777777" w:rsidR="006A0E61" w:rsidRPr="000270E3" w:rsidRDefault="006A0E61" w:rsidP="000270E3">
            <w:pPr>
              <w:pStyle w:val="NormalWeb"/>
              <w:spacing w:before="0" w:beforeAutospacing="0" w:after="0" w:afterAutospacing="0"/>
              <w:rPr>
                <w:rFonts w:ascii="Bookman Old Style" w:hAnsi="Bookman Old Style"/>
                <w:b/>
                <w:bCs/>
                <w:color w:val="000000"/>
                <w:sz w:val="20"/>
                <w:szCs w:val="20"/>
              </w:rPr>
            </w:pPr>
          </w:p>
          <w:p w14:paraId="3432789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0F49615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0D29408C"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29DF5D5"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58978" w14:textId="77777777" w:rsidR="006A0E61" w:rsidRPr="000270E3" w:rsidRDefault="006A0E61" w:rsidP="000270E3">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08277E8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6E2EDC9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16D26CED"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6A0E61" w:rsidRPr="000270E3" w14:paraId="4943C05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592E" w14:textId="77777777" w:rsidR="006A0E61" w:rsidRPr="000270E3" w:rsidRDefault="006A0E61"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5F0621B6"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09482CF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30F2D900"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F3FC6" w14:textId="77777777" w:rsidR="006A0E61" w:rsidRPr="000270E3" w:rsidRDefault="006A0E61" w:rsidP="000270E3">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536E8ED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536A5D9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329640E1"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6A0E61" w:rsidRPr="000270E3" w14:paraId="1588080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CA2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1BF73B3A"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76A7E4DA"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220375A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8E9C" w14:textId="77777777" w:rsidR="006A0E61" w:rsidRPr="000270E3" w:rsidRDefault="006A0E61" w:rsidP="00F067D5">
            <w:pPr>
              <w:pStyle w:val="NormalWeb"/>
              <w:spacing w:before="0" w:beforeAutospacing="0" w:after="0" w:afterAutospacing="0"/>
              <w:rPr>
                <w:rFonts w:ascii="Bookman Old Style" w:hAnsi="Bookman Old Style"/>
                <w:sz w:val="20"/>
                <w:szCs w:val="20"/>
              </w:rPr>
            </w:pPr>
          </w:p>
          <w:p w14:paraId="2AFCFC0C"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rPr>
            </w:pPr>
          </w:p>
          <w:p w14:paraId="465E1820"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22D04D3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C2EABF8" w14:textId="77777777" w:rsidR="006A0E61" w:rsidRPr="000270E3" w:rsidRDefault="006A0E61" w:rsidP="00F067D5">
            <w:pPr>
              <w:spacing w:after="240"/>
              <w:rPr>
                <w:rFonts w:ascii="Bookman Old Style" w:hAnsi="Bookman Old Style"/>
                <w:sz w:val="20"/>
                <w:szCs w:val="20"/>
              </w:rPr>
            </w:pPr>
          </w:p>
        </w:tc>
      </w:tr>
      <w:tr w:rsidR="006A0E61" w:rsidRPr="000270E3" w14:paraId="0AD73607"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90AED" w14:textId="77777777" w:rsidR="006A0E61" w:rsidRPr="000270E3" w:rsidRDefault="006A0E61" w:rsidP="00F067D5">
            <w:pPr>
              <w:pStyle w:val="NormalWeb"/>
              <w:spacing w:before="0" w:beforeAutospacing="0" w:after="0" w:afterAutospacing="0"/>
              <w:jc w:val="both"/>
              <w:rPr>
                <w:rFonts w:ascii="Bookman Old Style" w:hAnsi="Bookman Old Style"/>
                <w:sz w:val="20"/>
                <w:szCs w:val="20"/>
              </w:rPr>
            </w:pPr>
          </w:p>
          <w:p w14:paraId="5614EEC7"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CATHERINE JUVINAO CLAVIJO</w:t>
            </w:r>
          </w:p>
          <w:p w14:paraId="7C19297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6C58F75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2C15FCDB"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2A3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1C6A2C7E"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DOLCEY OSCAR TORRES ROMERO</w:t>
            </w:r>
          </w:p>
          <w:p w14:paraId="30398D34"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AEADCE8"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0F298208" w14:textId="77777777" w:rsidR="006A0E61" w:rsidRPr="000270E3" w:rsidRDefault="006A0E61" w:rsidP="00F067D5">
            <w:pPr>
              <w:rPr>
                <w:rFonts w:ascii="Bookman Old Style" w:hAnsi="Bookman Old Style"/>
                <w:sz w:val="20"/>
                <w:szCs w:val="20"/>
              </w:rPr>
            </w:pPr>
          </w:p>
          <w:p w14:paraId="466E26E7" w14:textId="77777777" w:rsidR="006A0E61" w:rsidRPr="000270E3" w:rsidRDefault="006A0E61" w:rsidP="00F067D5">
            <w:pPr>
              <w:rPr>
                <w:rFonts w:ascii="Bookman Old Style" w:hAnsi="Bookman Old Style"/>
                <w:sz w:val="20"/>
                <w:szCs w:val="20"/>
              </w:rPr>
            </w:pPr>
          </w:p>
        </w:tc>
      </w:tr>
      <w:tr w:rsidR="006A0E61" w:rsidRPr="000270E3" w14:paraId="12E7A1B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78476" w14:textId="77777777" w:rsidR="006A0E61" w:rsidRPr="000270E3" w:rsidRDefault="006A0E61" w:rsidP="00F067D5">
            <w:pPr>
              <w:rPr>
                <w:rFonts w:ascii="Bookman Old Style" w:hAnsi="Bookman Old Style"/>
                <w:sz w:val="20"/>
                <w:szCs w:val="20"/>
              </w:rPr>
            </w:pPr>
          </w:p>
          <w:p w14:paraId="34218925" w14:textId="77777777" w:rsidR="006A0E61" w:rsidRPr="000270E3" w:rsidRDefault="006A0E61"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72809" w14:textId="77777777" w:rsidR="006A0E61" w:rsidRPr="000270E3" w:rsidRDefault="006A0E61" w:rsidP="00F067D5">
            <w:pPr>
              <w:rPr>
                <w:rFonts w:ascii="Bookman Old Style" w:hAnsi="Bookman Old Style"/>
                <w:sz w:val="20"/>
                <w:szCs w:val="20"/>
              </w:rPr>
            </w:pPr>
          </w:p>
        </w:tc>
      </w:tr>
      <w:tr w:rsidR="006A0E61" w:rsidRPr="000270E3" w14:paraId="68E78E6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7EAF" w14:textId="77777777" w:rsidR="006A0E61" w:rsidRPr="000270E3" w:rsidRDefault="006A0E61" w:rsidP="00F067D5">
            <w:pPr>
              <w:widowControl/>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FE8EC" w14:textId="77777777" w:rsidR="006A0E61" w:rsidRPr="000270E3" w:rsidRDefault="006A0E61" w:rsidP="00F067D5">
            <w:pPr>
              <w:widowControl/>
              <w:rPr>
                <w:rFonts w:ascii="Bookman Old Style" w:hAnsi="Bookman Old Style"/>
                <w:sz w:val="20"/>
                <w:szCs w:val="20"/>
                <w:lang w:eastAsia="es-MX"/>
              </w:rPr>
            </w:pPr>
          </w:p>
        </w:tc>
      </w:tr>
      <w:tr w:rsidR="006A0E61" w:rsidRPr="000270E3" w14:paraId="558C999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F2278" w14:textId="77777777" w:rsidR="006A0E61" w:rsidRPr="000270E3" w:rsidRDefault="006A0E61" w:rsidP="00F067D5">
            <w:pPr>
              <w:widowControl/>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A24A4" w14:textId="77777777" w:rsidR="006A0E61" w:rsidRPr="000270E3" w:rsidRDefault="006A0E61" w:rsidP="00F067D5">
            <w:pPr>
              <w:widowControl/>
              <w:rPr>
                <w:rFonts w:ascii="Bookman Old Style" w:hAnsi="Bookman Old Style"/>
                <w:sz w:val="20"/>
                <w:szCs w:val="20"/>
                <w:lang w:eastAsia="es-MX"/>
              </w:rPr>
            </w:pPr>
          </w:p>
        </w:tc>
      </w:tr>
    </w:tbl>
    <w:p w14:paraId="0DEE2DED" w14:textId="77777777" w:rsidR="006A0E61" w:rsidRPr="000270E3" w:rsidRDefault="006A0E61" w:rsidP="006A0E61">
      <w:pPr>
        <w:pBdr>
          <w:top w:val="nil"/>
          <w:left w:val="nil"/>
          <w:bottom w:val="nil"/>
          <w:right w:val="nil"/>
          <w:between w:val="nil"/>
        </w:pBdr>
        <w:ind w:right="115"/>
        <w:rPr>
          <w:rFonts w:ascii="Bookman Old Style" w:hAnsi="Bookman Old Style" w:cstheme="minorHAnsi"/>
          <w:b/>
          <w:sz w:val="20"/>
          <w:szCs w:val="20"/>
        </w:rPr>
      </w:pPr>
    </w:p>
    <w:p w14:paraId="05648351" w14:textId="77777777" w:rsidR="006A0E61" w:rsidRPr="000270E3" w:rsidRDefault="006A0E61" w:rsidP="006A0E61">
      <w:pPr>
        <w:pBdr>
          <w:top w:val="nil"/>
          <w:left w:val="nil"/>
          <w:bottom w:val="nil"/>
          <w:right w:val="nil"/>
          <w:between w:val="nil"/>
        </w:pBdr>
        <w:ind w:right="115"/>
        <w:rPr>
          <w:rFonts w:ascii="Bookman Old Style" w:hAnsi="Bookman Old Style" w:cstheme="minorHAnsi"/>
          <w:b/>
          <w:sz w:val="20"/>
          <w:szCs w:val="20"/>
        </w:rPr>
      </w:pPr>
    </w:p>
    <w:p w14:paraId="7C0E5FF6" w14:textId="77777777" w:rsidR="006A0E61" w:rsidRPr="000270E3" w:rsidRDefault="006A0E61" w:rsidP="006A0E61">
      <w:pPr>
        <w:ind w:hanging="567"/>
        <w:rPr>
          <w:rFonts w:ascii="Bookman Old Style" w:eastAsia="Calibri" w:hAnsi="Bookman Old Style" w:cs="Calibri"/>
          <w:color w:val="000000"/>
          <w:sz w:val="20"/>
          <w:szCs w:val="20"/>
        </w:rPr>
      </w:pPr>
    </w:p>
    <w:p w14:paraId="602371CD" w14:textId="4AD1C24E"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6C17F556" w14:textId="6E2BDDA0"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23E226DB" w14:textId="35F97068"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3D5A1F3F" w14:textId="456D8915" w:rsidR="00FE4E72" w:rsidRDefault="00FE4E72" w:rsidP="00D6651D">
      <w:pPr>
        <w:pBdr>
          <w:top w:val="nil"/>
          <w:left w:val="nil"/>
          <w:bottom w:val="nil"/>
          <w:right w:val="nil"/>
          <w:between w:val="nil"/>
        </w:pBdr>
        <w:ind w:right="115"/>
        <w:rPr>
          <w:rFonts w:ascii="Bookman Old Style" w:hAnsi="Bookman Old Style" w:cstheme="minorHAnsi"/>
          <w:b/>
          <w:sz w:val="24"/>
          <w:szCs w:val="24"/>
        </w:rPr>
      </w:pPr>
    </w:p>
    <w:p w14:paraId="06AFCBCB" w14:textId="2129E39E"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5F0DF911" w14:textId="21CEA103"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0F03A212" w14:textId="196D45F0"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1020C0E9" w14:textId="53957160"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272B5BB3" w14:textId="4569A41D"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00C9CE52" w14:textId="075FE9D4"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6C41BD65" w14:textId="310BAEE6"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84173EA" w14:textId="7208A0FC"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014E09A" w14:textId="4BF953E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7159F16" w14:textId="5384EFB9"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DED7927" w14:textId="0A4DAB0F"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0A8026A" w14:textId="28717D8B"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4E9F997" w14:textId="3F18E342"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8D326CE" w14:textId="17847FC9"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126F86B" w14:textId="5F14F5C3"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42253253" w14:textId="280876F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7C9A3C5" w14:textId="3D9CB0E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F3C77AC" w14:textId="0DC7D9D4"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46FC5369" w14:textId="5918C23A"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5E0182B" w14:textId="210BEF15"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1DFBAB7" w14:textId="5F0AE043"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F4A45C1" w14:textId="1F62C7AB"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B92BAB2" w14:textId="371114C2"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5562501" w14:textId="74D6589F"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E12D3FB" w14:textId="135B26B8"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AE90EDA" w14:textId="49EB88E7"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BEFD93C" w14:textId="6B6DD266"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F2D79C7" w14:textId="77777777"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740CA94F" w14:textId="24C83CCD"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53DD526E" w14:textId="77777777" w:rsidR="00FE4E72" w:rsidRPr="00485CC5" w:rsidRDefault="00FE4E72" w:rsidP="00D6651D">
      <w:pPr>
        <w:pBdr>
          <w:top w:val="nil"/>
          <w:left w:val="nil"/>
          <w:bottom w:val="nil"/>
          <w:right w:val="nil"/>
          <w:between w:val="nil"/>
        </w:pBdr>
        <w:ind w:right="115"/>
        <w:rPr>
          <w:rFonts w:ascii="Bookman Old Style" w:hAnsi="Bookman Old Style" w:cstheme="minorHAnsi"/>
          <w:b/>
          <w:sz w:val="24"/>
          <w:szCs w:val="24"/>
        </w:rPr>
      </w:pPr>
    </w:p>
    <w:p w14:paraId="4B2B638E" w14:textId="3E057E7C" w:rsidR="00F36280" w:rsidRPr="00485CC5" w:rsidRDefault="00F36280" w:rsidP="001D0620">
      <w:pPr>
        <w:pBdr>
          <w:top w:val="nil"/>
          <w:left w:val="nil"/>
          <w:bottom w:val="nil"/>
          <w:right w:val="nil"/>
          <w:between w:val="nil"/>
        </w:pBdr>
        <w:ind w:right="115"/>
        <w:jc w:val="center"/>
        <w:rPr>
          <w:rFonts w:ascii="Bookman Old Style" w:hAnsi="Bookman Old Style" w:cstheme="minorHAnsi"/>
          <w:b/>
        </w:rPr>
      </w:pPr>
      <w:r w:rsidRPr="00485CC5">
        <w:rPr>
          <w:rFonts w:ascii="Bookman Old Style" w:hAnsi="Bookman Old Style" w:cstheme="minorHAnsi"/>
          <w:b/>
        </w:rPr>
        <w:t>PROYECTO DE</w:t>
      </w:r>
      <w:r w:rsidR="006B01C7">
        <w:rPr>
          <w:rFonts w:ascii="Bookman Old Style" w:hAnsi="Bookman Old Style" w:cstheme="minorHAnsi"/>
          <w:b/>
        </w:rPr>
        <w:t xml:space="preserve"> ACTO LEGISLATIVO</w:t>
      </w:r>
      <w:r w:rsidRPr="00485CC5">
        <w:rPr>
          <w:rFonts w:ascii="Bookman Old Style" w:hAnsi="Bookman Old Style" w:cstheme="minorHAnsi"/>
          <w:b/>
        </w:rPr>
        <w:t xml:space="preserve"> ______ de 20</w:t>
      </w:r>
      <w:r w:rsidR="006B01C7">
        <w:rPr>
          <w:rFonts w:ascii="Bookman Old Style" w:hAnsi="Bookman Old Style" w:cstheme="minorHAnsi"/>
          <w:b/>
        </w:rPr>
        <w:t>2</w:t>
      </w:r>
      <w:r w:rsidR="00FE4E72">
        <w:rPr>
          <w:rFonts w:ascii="Bookman Old Style" w:hAnsi="Bookman Old Style" w:cstheme="minorHAnsi"/>
          <w:b/>
        </w:rPr>
        <w:t>2</w:t>
      </w:r>
    </w:p>
    <w:p w14:paraId="5A97132E" w14:textId="77777777"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p>
    <w:p w14:paraId="70C7A852" w14:textId="7D961EFF"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r w:rsidRPr="00485CC5">
        <w:rPr>
          <w:rStyle w:val="Textoennegrita"/>
          <w:rFonts w:ascii="Bookman Old Style" w:hAnsi="Bookman Old Style" w:cs="Calibri"/>
          <w:b w:val="0"/>
          <w:bCs w:val="0"/>
          <w:i/>
        </w:rPr>
        <w:t>“Por medio del cual se modifica el artículo </w:t>
      </w:r>
      <w:r w:rsidRPr="00485CC5">
        <w:rPr>
          <w:rFonts w:ascii="Bookman Old Style" w:hAnsi="Bookman Old Style" w:cs="Calibri"/>
          <w:i/>
        </w:rPr>
        <w:t>49</w:t>
      </w:r>
      <w:r w:rsidRPr="00485CC5">
        <w:rPr>
          <w:rStyle w:val="Textoennegrita"/>
          <w:rFonts w:ascii="Bookman Old Style" w:hAnsi="Bookman Old Style" w:cs="Calibri"/>
          <w:i/>
        </w:rPr>
        <w:t> </w:t>
      </w:r>
      <w:r w:rsidRPr="00485CC5">
        <w:rPr>
          <w:rStyle w:val="Textoennegrita"/>
          <w:rFonts w:ascii="Bookman Old Style" w:hAnsi="Bookman Old Style" w:cs="Calibri"/>
          <w:b w:val="0"/>
          <w:bCs w:val="0"/>
          <w:i/>
        </w:rPr>
        <w:t>de la Constitución Política de Colombia y se regulariza el Cannabis</w:t>
      </w:r>
      <w:r w:rsidR="00BB5BB4">
        <w:rPr>
          <w:rStyle w:val="Textoennegrita"/>
          <w:rFonts w:ascii="Bookman Old Style" w:hAnsi="Bookman Old Style" w:cs="Calibri"/>
          <w:b w:val="0"/>
          <w:bCs w:val="0"/>
          <w:i/>
        </w:rPr>
        <w:t xml:space="preserve"> de uso adulto</w:t>
      </w:r>
      <w:r w:rsidRPr="00485CC5">
        <w:rPr>
          <w:rStyle w:val="Textoennegrita"/>
          <w:rFonts w:ascii="Bookman Old Style" w:hAnsi="Bookman Old Style" w:cs="Calibri"/>
          <w:b w:val="0"/>
          <w:bCs w:val="0"/>
          <w:i/>
        </w:rPr>
        <w:t>”.</w:t>
      </w:r>
    </w:p>
    <w:p w14:paraId="36913F1C"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7D2EEF9B"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0CAB16BB" w14:textId="77777777" w:rsidR="00F36280" w:rsidRPr="00485CC5" w:rsidRDefault="00F36280" w:rsidP="00F36280">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1A93BC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30B38006"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14333E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3A2A267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7E117F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0055A2DB" w14:textId="77777777" w:rsidR="00254DDC"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70554C26" w14:textId="088126AA" w:rsidR="00254DDC" w:rsidRPr="00485CC5" w:rsidRDefault="00254DDC" w:rsidP="00621929">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w:t>
      </w:r>
      <w:r w:rsidR="00753CAF" w:rsidRPr="00485CC5">
        <w:rPr>
          <w:rFonts w:ascii="Bookman Old Style" w:hAnsi="Bookman Old Style" w:cs="Calibri"/>
          <w:b/>
          <w:szCs w:val="24"/>
          <w:u w:val="single"/>
        </w:rPr>
        <w:t xml:space="preserve">para el uso por parte de mayores de edad </w:t>
      </w:r>
      <w:r w:rsidR="00753CAF">
        <w:rPr>
          <w:rFonts w:ascii="Bookman Old Style" w:hAnsi="Bookman Old Style" w:cs="Calibri"/>
          <w:b/>
          <w:szCs w:val="24"/>
          <w:u w:val="single"/>
        </w:rPr>
        <w:t>de</w:t>
      </w:r>
      <w:r w:rsidRPr="00485CC5">
        <w:rPr>
          <w:rFonts w:ascii="Bookman Old Style" w:hAnsi="Bookman Old Style" w:cs="Calibri"/>
          <w:b/>
          <w:szCs w:val="24"/>
          <w:u w:val="single"/>
        </w:rPr>
        <w:t>l cannabis y sus derivados</w:t>
      </w:r>
      <w:r w:rsidR="00BB5BB4">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 xml:space="preserve">aplicará </w:t>
      </w:r>
      <w:r w:rsidR="00EB478E">
        <w:rPr>
          <w:rFonts w:ascii="Bookman Old Style" w:hAnsi="Bookman Old Style" w:cs="Calibri"/>
          <w:b/>
          <w:szCs w:val="24"/>
          <w:u w:val="single"/>
        </w:rPr>
        <w:t>para la</w:t>
      </w:r>
      <w:r w:rsidRPr="00485CC5">
        <w:rPr>
          <w:rFonts w:ascii="Bookman Old Style" w:hAnsi="Bookman Old Style" w:cs="Calibri"/>
          <w:b/>
          <w:szCs w:val="24"/>
          <w:u w:val="single"/>
        </w:rPr>
        <w:t xml:space="preserve"> destinación científica</w:t>
      </w:r>
      <w:r w:rsidR="00EB478E">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el porte y consumo del cannabis y sus derivados en espacios públicos</w:t>
      </w:r>
      <w:r w:rsidR="00BB5BB4">
        <w:rPr>
          <w:rFonts w:ascii="Bookman Old Style" w:hAnsi="Bookman Old Style" w:cs="Calibri"/>
          <w:b/>
          <w:szCs w:val="24"/>
          <w:u w:val="single"/>
        </w:rPr>
        <w:t xml:space="preserve">, </w:t>
      </w:r>
      <w:r>
        <w:rPr>
          <w:rFonts w:ascii="Bookman Old Style" w:hAnsi="Bookman Old Style" w:cs="Calibri"/>
          <w:b/>
          <w:szCs w:val="24"/>
          <w:u w:val="single"/>
        </w:rPr>
        <w:t>zonas comunes</w:t>
      </w:r>
      <w:r w:rsidR="00BB5BB4">
        <w:rPr>
          <w:rFonts w:ascii="Bookman Old Style" w:hAnsi="Bookman Old Style" w:cs="Calibri"/>
          <w:b/>
          <w:szCs w:val="24"/>
          <w:u w:val="single"/>
        </w:rPr>
        <w:t xml:space="preserve"> y entornos escolares, entre otros</w:t>
      </w:r>
      <w:r>
        <w:rPr>
          <w:rFonts w:ascii="Bookman Old Style" w:hAnsi="Bookman Old Style" w:cs="Calibri"/>
          <w:b/>
          <w:szCs w:val="24"/>
          <w:u w:val="single"/>
        </w:rPr>
        <w:t>.</w:t>
      </w:r>
    </w:p>
    <w:p w14:paraId="13574E89" w14:textId="0E88FC87" w:rsidR="00F36280" w:rsidRDefault="00F36280" w:rsidP="00254DDC">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w:t>
      </w:r>
      <w:r w:rsidR="00E45D35">
        <w:rPr>
          <w:rFonts w:ascii="Bookman Old Style" w:hAnsi="Bookman Old Style" w:cs="Calibri"/>
        </w:rPr>
        <w:t xml:space="preserve"> </w:t>
      </w:r>
      <w:r w:rsidR="00E45D35" w:rsidRPr="00E45D35">
        <w:rPr>
          <w:rFonts w:ascii="Bookman Old Style" w:hAnsi="Bookman Old Style" w:cs="Calibri"/>
          <w:b/>
          <w:bCs/>
          <w:u w:val="single"/>
        </w:rPr>
        <w:t>garantizar su tratamiento; y así</w:t>
      </w:r>
      <w:r w:rsidRPr="00485CC5">
        <w:rPr>
          <w:rFonts w:ascii="Bookman Old Style" w:hAnsi="Bookman Old Style" w:cs="Calibri"/>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w:t>
      </w:r>
      <w:r w:rsidR="004750AD">
        <w:rPr>
          <w:rFonts w:ascii="Bookman Old Style" w:hAnsi="Bookman Old Style" w:cs="Calibri"/>
        </w:rPr>
        <w:t xml:space="preserve"> </w:t>
      </w:r>
      <w:r w:rsidR="004750AD" w:rsidRPr="004750AD">
        <w:rPr>
          <w:rFonts w:ascii="Bookman Old Style" w:hAnsi="Bookman Old Style" w:cs="Calibri"/>
          <w:b/>
          <w:bCs/>
          <w:u w:val="single"/>
        </w:rPr>
        <w:t>sus efectos nocivos</w:t>
      </w:r>
      <w:r w:rsidRPr="00485CC5">
        <w:rPr>
          <w:rFonts w:ascii="Bookman Old Style" w:hAnsi="Bookman Old Style" w:cs="Calibri"/>
        </w:rPr>
        <w:t xml:space="preserve"> en favor de la recuperación de los enfermos dependientes o adictos.</w:t>
      </w:r>
    </w:p>
    <w:p w14:paraId="384C8B9A" w14:textId="7FD0D01C" w:rsidR="004750AD" w:rsidRPr="004750AD" w:rsidRDefault="004750AD" w:rsidP="004750AD">
      <w:pPr>
        <w:spacing w:before="100" w:beforeAutospacing="1" w:after="100" w:afterAutospacing="1" w:line="270" w:lineRule="atLeast"/>
        <w:ind w:left="284"/>
        <w:jc w:val="both"/>
        <w:rPr>
          <w:rFonts w:ascii="Bookman Old Style" w:hAnsi="Bookman Old Style" w:cs="Calibri"/>
          <w:b/>
          <w:bCs/>
          <w:u w:val="single"/>
        </w:rPr>
      </w:pPr>
      <w:r w:rsidRPr="0055251D">
        <w:rPr>
          <w:rFonts w:ascii="Bookman Old Style" w:hAnsi="Bookman Old Style" w:cs="Calibri"/>
          <w:b/>
          <w:bCs/>
          <w:u w:val="single"/>
        </w:rPr>
        <w:t>Las entidades integrantes del Sistema Integral de Seguridad Social y sus prestadores garantizaran la aplicación de lo establecido en este artículo.</w:t>
      </w:r>
    </w:p>
    <w:p w14:paraId="28178D89" w14:textId="2494E3E1" w:rsidR="00BB5BB4" w:rsidRDefault="00F36280" w:rsidP="00F36280">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sidR="00BB5BB4">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sidR="00BB5BB4">
        <w:rPr>
          <w:rFonts w:ascii="Bookman Old Style" w:hAnsi="Bookman Old Style" w:cs="Calibri"/>
          <w:b/>
          <w:bCs/>
          <w:sz w:val="22"/>
          <w:szCs w:val="22"/>
        </w:rPr>
        <w:t xml:space="preserve"> </w:t>
      </w:r>
      <w:r w:rsidR="00BB5BB4">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176CA1E2" w14:textId="49ACA184" w:rsidR="00F36280" w:rsidRPr="00485CC5" w:rsidRDefault="00BB5BB4" w:rsidP="00F36280">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00F36280" w:rsidRPr="00485CC5">
        <w:rPr>
          <w:rFonts w:ascii="Bookman Old Style" w:hAnsi="Bookman Old Style" w:cs="Calibri"/>
          <w:b/>
          <w:bCs/>
          <w:sz w:val="22"/>
          <w:szCs w:val="22"/>
        </w:rPr>
        <w:t>VIGENCIA.</w:t>
      </w:r>
      <w:r w:rsidR="00470A0B">
        <w:rPr>
          <w:rFonts w:ascii="Bookman Old Style" w:hAnsi="Bookman Old Style" w:cs="Calibri"/>
          <w:sz w:val="22"/>
          <w:szCs w:val="22"/>
        </w:rPr>
        <w:t> El presente Acto Legislativo</w:t>
      </w:r>
      <w:r w:rsidR="00F36280"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3D8B12D9" w14:textId="77777777" w:rsidR="00F36280" w:rsidRPr="00485CC5" w:rsidRDefault="00F36280" w:rsidP="00F36280">
      <w:pPr>
        <w:pStyle w:val="NormalWeb"/>
        <w:spacing w:line="270" w:lineRule="atLeast"/>
        <w:jc w:val="both"/>
        <w:rPr>
          <w:rFonts w:ascii="Bookman Old Style" w:hAnsi="Bookman Old Style" w:cs="Calibri"/>
          <w:sz w:val="22"/>
          <w:szCs w:val="22"/>
        </w:rPr>
      </w:pPr>
    </w:p>
    <w:p w14:paraId="1B5EEE12"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23DFD6D9" w14:textId="1416C42F" w:rsidR="00F36280" w:rsidRDefault="00F36280" w:rsidP="00F36280">
      <w:pPr>
        <w:rPr>
          <w:rFonts w:ascii="Bookman Old Style" w:hAnsi="Bookman Old Style" w:cstheme="minorHAnsi"/>
          <w:b/>
        </w:rPr>
      </w:pPr>
    </w:p>
    <w:p w14:paraId="785654C4" w14:textId="757B5736" w:rsidR="004D2009" w:rsidRDefault="004D2009" w:rsidP="004D2009">
      <w:pPr>
        <w:rPr>
          <w:rFonts w:ascii="Bookman Old Style" w:hAnsi="Bookman Old Style" w:cstheme="minorHAnsi"/>
          <w:b/>
        </w:rPr>
      </w:pPr>
    </w:p>
    <w:p w14:paraId="2B7CCD8A" w14:textId="6DE600F8" w:rsidR="004D2009" w:rsidRDefault="004D2009" w:rsidP="004D2009">
      <w:pPr>
        <w:rPr>
          <w:rFonts w:ascii="Bookman Old Style" w:hAnsi="Bookman Old Style" w:cstheme="minorHAnsi"/>
          <w:b/>
        </w:rPr>
      </w:pPr>
    </w:p>
    <w:p w14:paraId="2BC02221" w14:textId="77777777" w:rsidR="004D2009" w:rsidRDefault="004D2009" w:rsidP="004D2009">
      <w:pPr>
        <w:rPr>
          <w:rFonts w:ascii="Bookman Old Style" w:hAnsi="Bookman Old Style" w:cstheme="minorHAnsi"/>
          <w:b/>
        </w:rPr>
      </w:pPr>
    </w:p>
    <w:p w14:paraId="22FEECA0" w14:textId="77777777" w:rsidR="004D2009" w:rsidRDefault="004D2009" w:rsidP="004D2009">
      <w:pPr>
        <w:rPr>
          <w:rFonts w:ascii="Bookman Old Style" w:hAnsi="Bookman Old Style" w:cstheme="minorHAnsi"/>
          <w:b/>
        </w:rPr>
      </w:pPr>
    </w:p>
    <w:p w14:paraId="28C86EB3"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2C4B81D3"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67C0495A" w14:textId="77777777"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56CAE965" w14:textId="77777777" w:rsidR="004D2009" w:rsidRPr="00485CC5" w:rsidRDefault="004D2009" w:rsidP="004D2009">
      <w:pPr>
        <w:jc w:val="center"/>
        <w:rPr>
          <w:rFonts w:ascii="Bookman Old Style" w:hAnsi="Bookman Old Style" w:cstheme="minorHAnsi"/>
          <w:b/>
        </w:rPr>
      </w:pPr>
    </w:p>
    <w:p w14:paraId="4168B084"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68489636"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43B782CA" w14:textId="10EDB08B"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99A8311" w14:textId="07A2C9FE"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B2BCC33" w14:textId="2A457979"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4651F298" w14:textId="50D490AD"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5BF266D" w14:textId="77777777"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72214BCF" w14:textId="00DFBB2B"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221C1B98" w14:textId="2B5B47D3"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7DF3212" w14:textId="7890B883"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303652F" w14:textId="144DB5FC"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44B4C55" w14:textId="57BC0CCE"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4440FF4" w14:textId="77777777"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88"/>
        <w:gridCol w:w="4140"/>
      </w:tblGrid>
      <w:tr w:rsidR="000270E3" w:rsidRPr="000270E3" w14:paraId="2BD804A5"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4EAA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VEGA PÉREZ</w:t>
            </w:r>
          </w:p>
          <w:p w14:paraId="7D4B7297"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52780E3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5CAC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DAVID LÓPEZ TENORIO</w:t>
            </w:r>
          </w:p>
          <w:p w14:paraId="59008DE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Valle del Cauca</w:t>
            </w:r>
          </w:p>
          <w:p w14:paraId="0551BD4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0270E3" w:rsidRPr="000270E3" w14:paraId="6CD5E19C"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7075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JAIME RODRIGUEZ CONTRERAS</w:t>
            </w:r>
          </w:p>
          <w:p w14:paraId="6F21161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359D58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2C15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4FA0F4A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0270E3" w:rsidRPr="000270E3" w14:paraId="4DC1C927"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1A0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171D52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5AF8495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1D6A3" w14:textId="77777777" w:rsidR="000270E3" w:rsidRPr="000270E3" w:rsidRDefault="000270E3" w:rsidP="00F067D5">
            <w:pPr>
              <w:widowControl/>
              <w:spacing w:after="240"/>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PEINADO RAMÍREZ</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Representante a la Cámara</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Departamento de Antioquia</w:t>
            </w:r>
          </w:p>
          <w:p w14:paraId="6733EAC1"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3CF3F28B"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EC24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4E7EC60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707EC30A" w14:textId="77777777" w:rsidR="000270E3" w:rsidRPr="000270E3" w:rsidRDefault="000270E3" w:rsidP="00F067D5">
            <w:pPr>
              <w:widowControl/>
              <w:spacing w:after="20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D5D0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7DB7B6D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0BEDCD91" w14:textId="77777777" w:rsidR="000270E3" w:rsidRPr="000270E3" w:rsidRDefault="000270E3" w:rsidP="00F067D5">
            <w:pPr>
              <w:widowControl/>
              <w:rPr>
                <w:rFonts w:ascii="Bookman Old Style" w:hAnsi="Bookman Old Style"/>
                <w:sz w:val="20"/>
                <w:szCs w:val="20"/>
                <w:lang w:eastAsia="es-MX"/>
              </w:rPr>
            </w:pPr>
          </w:p>
        </w:tc>
      </w:tr>
      <w:tr w:rsidR="000270E3" w:rsidRPr="000270E3" w14:paraId="0C03007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C812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75E4B4D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61FBD64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769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576C9BA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C9C1C9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0270E3" w:rsidRPr="000270E3" w14:paraId="5146804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697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4B6485C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A6D389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22C5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690BD3C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5C77E57"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73A9833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53317" w14:textId="77777777" w:rsidR="000270E3" w:rsidRPr="000270E3" w:rsidRDefault="000270E3" w:rsidP="00F067D5">
            <w:pPr>
              <w:widowControl/>
              <w:rPr>
                <w:rFonts w:ascii="Bookman Old Style" w:hAnsi="Bookman Old Style"/>
                <w:sz w:val="20"/>
                <w:szCs w:val="20"/>
                <w:lang w:eastAsia="es-MX"/>
              </w:rPr>
            </w:pPr>
          </w:p>
          <w:p w14:paraId="7A75AB6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0F3D9B8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983A54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7EFC7" w14:textId="77777777" w:rsidR="000270E3" w:rsidRPr="000270E3" w:rsidRDefault="000270E3" w:rsidP="00F067D5">
            <w:pPr>
              <w:widowControl/>
              <w:rPr>
                <w:rFonts w:ascii="Bookman Old Style" w:hAnsi="Bookman Old Style"/>
                <w:sz w:val="20"/>
                <w:szCs w:val="20"/>
                <w:lang w:eastAsia="es-MX"/>
              </w:rPr>
            </w:pPr>
          </w:p>
          <w:p w14:paraId="6066897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58B4BB2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287D8D7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0270E3" w:rsidRPr="000270E3" w14:paraId="1DF48F1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CE060" w14:textId="77777777" w:rsidR="000270E3" w:rsidRPr="000270E3" w:rsidRDefault="000270E3" w:rsidP="00F067D5">
            <w:pPr>
              <w:widowControl/>
              <w:rPr>
                <w:rFonts w:ascii="Bookman Old Style" w:hAnsi="Bookman Old Style"/>
                <w:sz w:val="20"/>
                <w:szCs w:val="20"/>
                <w:lang w:eastAsia="es-MX"/>
              </w:rPr>
            </w:pPr>
          </w:p>
          <w:p w14:paraId="73D8B0A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5AFD87C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B4DBA7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7991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58B9A94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59EF39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0270E3" w:rsidRPr="000270E3" w14:paraId="33B2CB9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198DA" w14:textId="77777777" w:rsidR="000270E3" w:rsidRPr="000270E3" w:rsidRDefault="000270E3" w:rsidP="00F067D5">
            <w:pPr>
              <w:widowControl/>
              <w:rPr>
                <w:rFonts w:ascii="Bookman Old Style" w:hAnsi="Bookman Old Style"/>
                <w:sz w:val="20"/>
                <w:szCs w:val="20"/>
                <w:lang w:eastAsia="es-MX"/>
              </w:rPr>
            </w:pPr>
          </w:p>
          <w:p w14:paraId="05F1D1F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290FCFD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5EA6056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5D5A" w14:textId="77777777" w:rsidR="000270E3" w:rsidRPr="000270E3" w:rsidRDefault="000270E3" w:rsidP="00F067D5">
            <w:pPr>
              <w:widowControl/>
              <w:jc w:val="center"/>
              <w:rPr>
                <w:rFonts w:ascii="Bookman Old Style" w:hAnsi="Bookman Old Style"/>
                <w:sz w:val="20"/>
                <w:szCs w:val="20"/>
                <w:lang w:eastAsia="es-MX"/>
              </w:rPr>
            </w:pPr>
          </w:p>
          <w:p w14:paraId="74A8F9F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118B7D3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F50394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3379CCA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81A91"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1C6022E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2F2836C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34C9A2D1" w14:textId="77777777" w:rsidR="000270E3" w:rsidRPr="000270E3" w:rsidRDefault="000270E3"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80CC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369035B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5569A97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5197EB7D"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4C31F466"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09F8AE64"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D66E7" w14:textId="77777777" w:rsidR="000270E3" w:rsidRPr="000270E3" w:rsidRDefault="000270E3" w:rsidP="00F067D5">
            <w:pPr>
              <w:pStyle w:val="NormalWeb"/>
              <w:spacing w:before="0" w:beforeAutospacing="0" w:after="0" w:afterAutospacing="0"/>
              <w:rPr>
                <w:rFonts w:ascii="Bookman Old Style" w:hAnsi="Bookman Old Style"/>
                <w:b/>
                <w:bCs/>
                <w:color w:val="000000"/>
                <w:sz w:val="20"/>
                <w:szCs w:val="20"/>
              </w:rPr>
            </w:pPr>
          </w:p>
          <w:p w14:paraId="3151A14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23A425B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6B469A1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E9162CF"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85093"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5A880C2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30469AEB"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1FB1FB0C"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0270E3" w:rsidRPr="000270E3" w14:paraId="461E769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6DA31"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4D2D558E"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5F37F49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00AE1933"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967AF"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2DDB7A3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57EC8CE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28E72260"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0270E3" w:rsidRPr="000270E3" w14:paraId="4B7E609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93A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32A78A7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6077BE3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6CC811C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FC18F" w14:textId="77777777" w:rsidR="000270E3" w:rsidRPr="000270E3" w:rsidRDefault="000270E3" w:rsidP="00F067D5">
            <w:pPr>
              <w:pStyle w:val="NormalWeb"/>
              <w:spacing w:before="0" w:beforeAutospacing="0" w:after="0" w:afterAutospacing="0"/>
              <w:rPr>
                <w:rFonts w:ascii="Bookman Old Style" w:hAnsi="Bookman Old Style"/>
                <w:sz w:val="20"/>
                <w:szCs w:val="20"/>
              </w:rPr>
            </w:pPr>
          </w:p>
          <w:p w14:paraId="3E916DEE"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p>
          <w:p w14:paraId="6C331B46"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7FAA482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29E3C5C" w14:textId="77777777" w:rsidR="000270E3" w:rsidRPr="000270E3" w:rsidRDefault="000270E3" w:rsidP="00F067D5">
            <w:pPr>
              <w:spacing w:after="240"/>
              <w:rPr>
                <w:rFonts w:ascii="Bookman Old Style" w:hAnsi="Bookman Old Style"/>
                <w:sz w:val="20"/>
                <w:szCs w:val="20"/>
              </w:rPr>
            </w:pPr>
          </w:p>
        </w:tc>
      </w:tr>
      <w:tr w:rsidR="000270E3" w:rsidRPr="000270E3" w14:paraId="2A52B8A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BC85C" w14:textId="77777777" w:rsidR="000270E3" w:rsidRPr="000270E3" w:rsidRDefault="000270E3" w:rsidP="00F067D5">
            <w:pPr>
              <w:pStyle w:val="NormalWeb"/>
              <w:spacing w:before="0" w:beforeAutospacing="0" w:after="0" w:afterAutospacing="0"/>
              <w:jc w:val="both"/>
              <w:rPr>
                <w:rFonts w:ascii="Bookman Old Style" w:hAnsi="Bookman Old Style"/>
                <w:sz w:val="20"/>
                <w:szCs w:val="20"/>
              </w:rPr>
            </w:pPr>
          </w:p>
          <w:p w14:paraId="58524CE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CATHERINE JUVINAO CLAVIJO</w:t>
            </w:r>
          </w:p>
          <w:p w14:paraId="685D582A"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600C351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4F5CF05E"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378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742495F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DOLCEY OSCAR TORRES ROMERO</w:t>
            </w:r>
          </w:p>
          <w:p w14:paraId="3A9A553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DC2E34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489640FC" w14:textId="77777777" w:rsidR="000270E3" w:rsidRPr="000270E3" w:rsidRDefault="000270E3" w:rsidP="00F067D5">
            <w:pPr>
              <w:rPr>
                <w:rFonts w:ascii="Bookman Old Style" w:hAnsi="Bookman Old Style"/>
                <w:sz w:val="20"/>
                <w:szCs w:val="20"/>
              </w:rPr>
            </w:pPr>
          </w:p>
          <w:p w14:paraId="4747D8BD" w14:textId="77777777" w:rsidR="000270E3" w:rsidRPr="000270E3" w:rsidRDefault="000270E3" w:rsidP="00F067D5">
            <w:pPr>
              <w:rPr>
                <w:rFonts w:ascii="Bookman Old Style" w:hAnsi="Bookman Old Style"/>
                <w:sz w:val="20"/>
                <w:szCs w:val="20"/>
              </w:rPr>
            </w:pPr>
          </w:p>
        </w:tc>
      </w:tr>
      <w:tr w:rsidR="000270E3" w:rsidRPr="000270E3" w14:paraId="72F3E03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2D162"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p w14:paraId="2FA779F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46FEB8A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p w14:paraId="34FE6975" w14:textId="77777777" w:rsidR="000270E3" w:rsidRPr="000270E3" w:rsidRDefault="000270E3" w:rsidP="00F067D5">
            <w:pPr>
              <w:rPr>
                <w:rFonts w:ascii="Bookman Old Style" w:hAnsi="Bookman Old Style"/>
                <w:sz w:val="20"/>
                <w:szCs w:val="20"/>
              </w:rPr>
            </w:pPr>
          </w:p>
          <w:p w14:paraId="1F208D57" w14:textId="77777777" w:rsidR="000270E3" w:rsidRPr="000270E3" w:rsidRDefault="000270E3"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024B" w14:textId="77777777" w:rsidR="000270E3" w:rsidRPr="000270E3" w:rsidRDefault="000270E3" w:rsidP="00F067D5">
            <w:pPr>
              <w:rPr>
                <w:rFonts w:ascii="Bookman Old Style" w:hAnsi="Bookman Old Style"/>
                <w:sz w:val="20"/>
                <w:szCs w:val="20"/>
              </w:rPr>
            </w:pPr>
          </w:p>
        </w:tc>
      </w:tr>
    </w:tbl>
    <w:p w14:paraId="238C99C8" w14:textId="04EA2588" w:rsidR="004750AD" w:rsidRDefault="004750AD" w:rsidP="00F36280">
      <w:pPr>
        <w:pStyle w:val="Sinespaciado"/>
        <w:pBdr>
          <w:bottom w:val="single" w:sz="4" w:space="1" w:color="auto"/>
        </w:pBdr>
        <w:tabs>
          <w:tab w:val="left" w:pos="8055"/>
        </w:tabs>
        <w:jc w:val="center"/>
        <w:rPr>
          <w:rFonts w:ascii="Bookman Old Style" w:hAnsi="Bookman Old Style" w:cs="Arial"/>
          <w:b/>
        </w:rPr>
      </w:pPr>
    </w:p>
    <w:p w14:paraId="6F720607" w14:textId="1D7D4423" w:rsidR="009A294A" w:rsidRDefault="009A294A" w:rsidP="00F36280">
      <w:pPr>
        <w:pStyle w:val="Sinespaciado"/>
        <w:pBdr>
          <w:bottom w:val="single" w:sz="4" w:space="1" w:color="auto"/>
        </w:pBdr>
        <w:tabs>
          <w:tab w:val="left" w:pos="8055"/>
        </w:tabs>
        <w:jc w:val="center"/>
        <w:rPr>
          <w:rFonts w:ascii="Bookman Old Style" w:hAnsi="Bookman Old Style" w:cs="Arial"/>
          <w:b/>
        </w:rPr>
      </w:pPr>
    </w:p>
    <w:p w14:paraId="69ABA42A" w14:textId="78C5DAF6"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596E0B4C" w14:textId="6DB44D3B"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903BC7B" w14:textId="5F6291D3"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63812F01" w14:textId="6DF53405"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72D98AEA" w14:textId="1131D474"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FB02A1A" w14:textId="644BF79E"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1674FE0" w14:textId="0370184C"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E60DFDE" w14:textId="657933B1"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5C10ACD" w14:textId="09C8643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7B8803E" w14:textId="2C1CBF90"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5EDC682" w14:textId="6DE5693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501D306" w14:textId="02094CA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9CE2A03" w14:textId="352E874A"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508F653" w14:textId="53DEC330"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23F2FE01" w14:textId="3C071F9D"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854AD2A" w14:textId="63840A0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B80E257" w14:textId="7A7807D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9D25E1B" w14:textId="4671344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FEEAAE1" w14:textId="021E70F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4DFF3D1" w14:textId="7E99751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02DCDDE" w14:textId="583FA7AC"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D104C26" w14:textId="15461F68"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E2F84D7" w14:textId="4007FE7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0DB97386" w14:textId="1E9184D1"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4FA1150D" w14:textId="71B1665E"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DB10B66" w14:textId="4C0F2D95"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D548BAF" w14:textId="2F7FC19F"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333ACC7" w14:textId="00783B18"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F7FB14E" w14:textId="00C1CFEA"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2651E311" w14:textId="2E80D4F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F76BD88" w14:textId="2951CDE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42557D19" w14:textId="64AD01E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C2F8C68" w14:textId="77777777"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B647480" w14:textId="37D643A4"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1EDCF0F" w14:textId="0B2D3C2F"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52FCDF80" w14:textId="77777777" w:rsidR="00011ACE" w:rsidRDefault="00011ACE" w:rsidP="00EF0058">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5B6F108E" w14:textId="30263621" w:rsidR="00963B79" w:rsidRDefault="00963B79" w:rsidP="000B0FBF">
      <w:pPr>
        <w:pBdr>
          <w:top w:val="nil"/>
          <w:left w:val="nil"/>
          <w:bottom w:val="nil"/>
          <w:right w:val="nil"/>
          <w:between w:val="nil"/>
        </w:pBdr>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666F3D">
        <w:rPr>
          <w:rFonts w:ascii="Bookman Old Style" w:eastAsia="Calibri" w:hAnsi="Bookman Old Style" w:cs="Calibri"/>
          <w:szCs w:val="24"/>
        </w:rPr>
        <w:t>doce</w:t>
      </w:r>
      <w:r>
        <w:rPr>
          <w:rFonts w:ascii="Bookman Old Style" w:eastAsia="Calibri" w:hAnsi="Bookman Old Style" w:cs="Calibri"/>
          <w:szCs w:val="24"/>
        </w:rPr>
        <w:t xml:space="preserve"> (1</w:t>
      </w:r>
      <w:r w:rsidR="00666F3D">
        <w:rPr>
          <w:rFonts w:ascii="Bookman Old Style" w:eastAsia="Calibri" w:hAnsi="Bookman Old Style" w:cs="Calibri"/>
          <w:szCs w:val="24"/>
        </w:rPr>
        <w:t>2</w:t>
      </w:r>
      <w:r>
        <w:rPr>
          <w:rFonts w:ascii="Bookman Old Style" w:eastAsia="Calibri" w:hAnsi="Bookman Old Style" w:cs="Calibri"/>
          <w:szCs w:val="24"/>
        </w:rPr>
        <w:t>) apartes:</w:t>
      </w:r>
    </w:p>
    <w:p w14:paraId="4EDB0069" w14:textId="77777777" w:rsidR="00963B79" w:rsidRPr="00621929" w:rsidRDefault="00963B79" w:rsidP="000B0FBF">
      <w:pPr>
        <w:pBdr>
          <w:top w:val="nil"/>
          <w:left w:val="nil"/>
          <w:bottom w:val="nil"/>
          <w:right w:val="nil"/>
          <w:between w:val="nil"/>
        </w:pBdr>
        <w:ind w:right="115"/>
        <w:rPr>
          <w:rFonts w:ascii="Bookman Old Style" w:eastAsia="Calibri" w:hAnsi="Bookman Old Style" w:cs="Calibri"/>
          <w:szCs w:val="24"/>
        </w:rPr>
      </w:pPr>
    </w:p>
    <w:p w14:paraId="42AB9A68" w14:textId="77777777"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4C4F4E97" w14:textId="77777777" w:rsidR="004561C0" w:rsidRDefault="004561C0"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986C349"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61FE857C"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7C53C833"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621A0259" w14:textId="0137C949" w:rsidR="00FF35F1" w:rsidRDefault="00FF35F1"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14:paraId="49984E74" w14:textId="77777777" w:rsidR="00176820"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p>
    <w:p w14:paraId="1A9E2864" w14:textId="737EB48C"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6.2.1.1 Frente al daño al consumidor.</w:t>
      </w:r>
    </w:p>
    <w:p w14:paraId="27B34097" w14:textId="058BC591"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6.2.1.2 Frente a la probabilidad de desarrollar trastornos asociados al consumo.</w:t>
      </w:r>
    </w:p>
    <w:p w14:paraId="2ED11103" w14:textId="4A96D4AE"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6.2.1.3 Frente al aumento del consumo por regulación.</w:t>
      </w:r>
    </w:p>
    <w:p w14:paraId="35344AC8" w14:textId="51FB5456" w:rsidR="000B0FBF" w:rsidRPr="00114CF9"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6.2.1.4 Frente al aumento de violencia por consumo de cannabis.</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3225B70B" w14:textId="6B43B346" w:rsidR="00647748" w:rsidRPr="002B6B8C"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r w:rsidR="005B5FC0" w:rsidRPr="002B6B8C">
        <w:rPr>
          <w:rFonts w:ascii="Bookman Old Style" w:eastAsia="Calibri" w:hAnsi="Bookman Old Style" w:cs="Calibri"/>
          <w:bCs/>
          <w:szCs w:val="24"/>
        </w:rPr>
        <w:t>.</w:t>
      </w:r>
    </w:p>
    <w:p w14:paraId="6BEBF969" w14:textId="01897DD6" w:rsidR="00647748" w:rsidRPr="00647748" w:rsidRDefault="004750AD"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00647748" w:rsidRPr="00647748">
        <w:rPr>
          <w:rFonts w:ascii="Bookman Old Style" w:eastAsia="Calibri" w:hAnsi="Bookman Old Style" w:cs="Calibri"/>
          <w:bCs/>
          <w:szCs w:val="24"/>
        </w:rPr>
        <w:t xml:space="preserve"> Constitución</w:t>
      </w:r>
      <w:r w:rsidR="005B5FC0">
        <w:rPr>
          <w:rFonts w:ascii="Bookman Old Style" w:eastAsia="Calibri" w:hAnsi="Bookman Old Style" w:cs="Calibri"/>
          <w:bCs/>
          <w:szCs w:val="24"/>
        </w:rPr>
        <w:t>.</w:t>
      </w:r>
    </w:p>
    <w:p w14:paraId="56CC17DF" w14:textId="12AD26CE" w:rsid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17B658D3" w14:textId="6046E09A" w:rsidR="004750AD" w:rsidRDefault="004750AD"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1A236936" w14:textId="703E9039" w:rsidR="005D217A" w:rsidRDefault="005D217A" w:rsidP="005D217A">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14:paraId="2B2FC422" w14:textId="4E53B432" w:rsidR="005D217A" w:rsidRDefault="005D217A" w:rsidP="005D217A">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14:paraId="6EBCA10C" w14:textId="77777777"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557B3DCC" w14:textId="77777777"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73FE9F6F" w14:textId="1DE3531B" w:rsidR="000B0FBF" w:rsidRDefault="000B0FBF" w:rsidP="000B0FBF">
      <w:pPr>
        <w:pBdr>
          <w:top w:val="nil"/>
          <w:left w:val="nil"/>
          <w:bottom w:val="nil"/>
          <w:right w:val="nil"/>
          <w:between w:val="nil"/>
        </w:pBdr>
        <w:ind w:left="-1133" w:right="115"/>
        <w:rPr>
          <w:rFonts w:ascii="Bookman Old Style" w:eastAsia="Calibri" w:hAnsi="Bookman Old Style" w:cs="Calibri"/>
          <w:b/>
          <w:szCs w:val="24"/>
        </w:rPr>
      </w:pPr>
    </w:p>
    <w:p w14:paraId="34F7E83C" w14:textId="77777777" w:rsidR="00FF35F1" w:rsidRPr="00485CC5" w:rsidRDefault="00FF35F1" w:rsidP="000B0FBF">
      <w:pPr>
        <w:pBdr>
          <w:top w:val="nil"/>
          <w:left w:val="nil"/>
          <w:bottom w:val="nil"/>
          <w:right w:val="nil"/>
          <w:between w:val="nil"/>
        </w:pBdr>
        <w:ind w:left="-1133" w:right="115"/>
        <w:rPr>
          <w:rFonts w:ascii="Bookman Old Style" w:eastAsia="Calibri" w:hAnsi="Bookman Old Style" w:cs="Calibri"/>
          <w:b/>
          <w:szCs w:val="24"/>
        </w:rPr>
      </w:pPr>
    </w:p>
    <w:p w14:paraId="0A376DD9" w14:textId="3B3A5246" w:rsidR="009B6C3A" w:rsidRDefault="009B6C3A"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748E9879" w14:textId="409B9F4F"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1D7C4987" w14:textId="77777777" w:rsidR="009B6C3A" w:rsidRDefault="009B6C3A" w:rsidP="009B6C3A">
      <w:pPr>
        <w:jc w:val="both"/>
        <w:rPr>
          <w:rFonts w:ascii="Bookman Old Style" w:eastAsia="Calibri" w:hAnsi="Bookman Old Style" w:cs="Calibri"/>
          <w:bCs/>
          <w:i/>
          <w:iCs/>
          <w:szCs w:val="24"/>
        </w:rPr>
      </w:pPr>
    </w:p>
    <w:p w14:paraId="5DEEE347" w14:textId="785E5595"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r w:rsidR="002B1845">
        <w:rPr>
          <w:rFonts w:ascii="Bookman Old Style" w:eastAsia="Calibri" w:hAnsi="Bookman Old Style" w:cs="Calibri"/>
          <w:bCs/>
          <w:iCs/>
          <w:szCs w:val="24"/>
        </w:rPr>
        <w:t>E</w:t>
      </w:r>
      <w:r>
        <w:rPr>
          <w:rFonts w:ascii="Bookman Old Style" w:eastAsia="Calibri" w:hAnsi="Bookman Old Style" w:cs="Calibri"/>
          <w:bCs/>
          <w:iCs/>
          <w:szCs w:val="24"/>
        </w:rPr>
        <w:t>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xml:space="preserve">, de acuerdo a lo dispuesto en </w:t>
      </w:r>
      <w:r w:rsidR="002B1845">
        <w:rPr>
          <w:rFonts w:ascii="Bookman Old Style" w:eastAsia="Calibri" w:hAnsi="Bookman Old Style" w:cs="Calibri"/>
          <w:bCs/>
          <w:iCs/>
          <w:szCs w:val="24"/>
        </w:rPr>
        <w:t>los artículos</w:t>
      </w:r>
      <w:r w:rsidR="00DA389D">
        <w:rPr>
          <w:rFonts w:ascii="Bookman Old Style" w:eastAsia="Calibri" w:hAnsi="Bookman Old Style" w:cs="Calibri"/>
          <w:bCs/>
          <w:iCs/>
          <w:szCs w:val="24"/>
        </w:rPr>
        <w:t xml:space="preserve"> 224 y 225 de la Ley 5ta de 1992.</w:t>
      </w:r>
    </w:p>
    <w:p w14:paraId="3091F575" w14:textId="56061CE7" w:rsidR="00DA389D" w:rsidRDefault="00DA389D" w:rsidP="009B6C3A">
      <w:pPr>
        <w:jc w:val="both"/>
        <w:rPr>
          <w:rFonts w:ascii="Bookman Old Style" w:eastAsia="Calibri" w:hAnsi="Bookman Old Style" w:cs="Calibri"/>
          <w:bCs/>
          <w:iCs/>
          <w:szCs w:val="24"/>
        </w:rPr>
      </w:pPr>
    </w:p>
    <w:p w14:paraId="438FB9C9" w14:textId="0F15F05F" w:rsidR="002B1845" w:rsidRDefault="002B1845" w:rsidP="002B1845">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6F81258" w14:textId="55E4A125" w:rsidR="00FE1D30" w:rsidRDefault="00FE1D30" w:rsidP="009B6C3A">
      <w:pPr>
        <w:jc w:val="both"/>
        <w:rPr>
          <w:rFonts w:ascii="Bookman Old Style" w:eastAsia="Calibri" w:hAnsi="Bookman Old Style" w:cs="Calibri"/>
          <w:bCs/>
          <w:iCs/>
          <w:szCs w:val="24"/>
        </w:rPr>
      </w:pPr>
    </w:p>
    <w:p w14:paraId="4DD18D6F" w14:textId="76F5F48A" w:rsidR="0090453E" w:rsidRDefault="002B1845"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15 de septiembre de 2020 el proyecto fue puesto en consideración en la Comisión Primera Constitucional Permanente de la Cámara de Representantes, donde fue aprobado.</w:t>
      </w:r>
      <w:r w:rsidR="002129C0">
        <w:rPr>
          <w:rFonts w:ascii="Bookman Old Style" w:eastAsia="Calibri" w:hAnsi="Bookman Old Style" w:cs="Calibri"/>
          <w:bCs/>
          <w:iCs/>
          <w:szCs w:val="24"/>
        </w:rPr>
        <w:t xml:space="preserve"> </w:t>
      </w:r>
      <w:r w:rsidR="0090453E">
        <w:rPr>
          <w:rFonts w:ascii="Bookman Old Style" w:eastAsia="Calibri" w:hAnsi="Bookman Old Style" w:cs="Calibri"/>
          <w:bCs/>
          <w:iCs/>
          <w:szCs w:val="24"/>
        </w:rPr>
        <w:t>El 03 de noviembre de 2020 tuvo lugar el segundo debate del Proyecto de Acto Legislativo ante la Honorable Plenaria de la Cámara de Representantes, en donde se archivó</w:t>
      </w:r>
      <w:r w:rsidR="002129C0">
        <w:rPr>
          <w:rFonts w:ascii="Bookman Old Style" w:eastAsia="Calibri" w:hAnsi="Bookman Old Style" w:cs="Calibri"/>
          <w:bCs/>
          <w:iCs/>
          <w:szCs w:val="24"/>
        </w:rPr>
        <w:t xml:space="preserve"> por no alcanzar las mayorías necesarias para su aprobación</w:t>
      </w:r>
      <w:r w:rsidR="0090453E">
        <w:rPr>
          <w:rFonts w:ascii="Bookman Old Style" w:eastAsia="Calibri" w:hAnsi="Bookman Old Style" w:cs="Calibri"/>
          <w:bCs/>
          <w:iCs/>
          <w:szCs w:val="24"/>
        </w:rPr>
        <w:t>.</w:t>
      </w:r>
    </w:p>
    <w:p w14:paraId="0F18507D" w14:textId="54B3479F" w:rsidR="002B1845" w:rsidRDefault="002B1845" w:rsidP="009B6C3A">
      <w:pPr>
        <w:jc w:val="both"/>
        <w:rPr>
          <w:rFonts w:ascii="Bookman Old Style" w:eastAsia="Calibri" w:hAnsi="Bookman Old Style" w:cs="Calibri"/>
          <w:bCs/>
          <w:iCs/>
          <w:szCs w:val="24"/>
        </w:rPr>
      </w:pPr>
    </w:p>
    <w:p w14:paraId="7CCF7167" w14:textId="29255C52" w:rsidR="002129C0" w:rsidRDefault="002129C0"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2021 se presentó el proyecto una vez más, suscrito por los H.R. </w:t>
      </w:r>
      <w:r w:rsidR="00C173FD" w:rsidRPr="00C173FD">
        <w:rPr>
          <w:rFonts w:ascii="Bookman Old Style" w:eastAsia="Calibri" w:hAnsi="Bookman Old Style" w:cs="Calibri"/>
          <w:bCs/>
          <w:iCs/>
          <w:szCs w:val="24"/>
        </w:rPr>
        <w:t>Juan Carlos Lozada Vargas,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Juan Fernando Reyes Kuri,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Mauricio Andrés Toro Orjuela,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Rodrigo Arturo Rojas Lara,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José Daniel López Jiménez,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Jorge Enrique Benedetti Martelo,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Juanita María Goebertus Estrada,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Carlos Adolfo Ardila Espinosa,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Jhon Arley Murillo Benítez,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Faber Alberto Muñoz Cerón,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Katherine Miranda Peña,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Carlos Germán Navas Talero,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Ángel María Gaitán Pulido,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Harry Giovanny González García,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Catalina Ortiz Lalinde,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María José Pizarro Rodríguez,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Henry Fernando Correal Herrera,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Andrés David Calle Aguas,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Julián Peinado Ramírez,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Elizabeth Jay-Pang Díaz,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Inti Raúl Asprilla Reyes,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Jairo Reinaldo Cala Suárez,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Alejandro Alberto Vega Pérez,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Luis Alberto Albán Urbano,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Gabriel Santos García,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Alfredo Rafael Deluque Zuleta,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Alejandro Carlos Chacón Camargo,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David Ricardo Racero Mayorca,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Álvaro Henry Monedero Rivera,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Teresa De Jesús Enríquez Rosero,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Luciano Grisales Londoño,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César Augusto Lorduy Maldonado</w:t>
      </w:r>
      <w:r w:rsidR="00C173FD">
        <w:rPr>
          <w:rFonts w:ascii="Bookman Old Style" w:eastAsia="Calibri" w:hAnsi="Bookman Old Style" w:cs="Calibri"/>
          <w:bCs/>
          <w:iCs/>
          <w:szCs w:val="24"/>
        </w:rPr>
        <w:t xml:space="preserve"> y los H.S. </w:t>
      </w:r>
      <w:r w:rsidR="00C173FD" w:rsidRPr="00C173FD">
        <w:rPr>
          <w:rFonts w:ascii="Bookman Old Style" w:eastAsia="Calibri" w:hAnsi="Bookman Old Style" w:cs="Calibri"/>
          <w:bCs/>
          <w:iCs/>
          <w:szCs w:val="24"/>
        </w:rPr>
        <w:t>Juan Luis Castro Córdoba, H.S.</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 xml:space="preserve">Horacio </w:t>
      </w:r>
      <w:r w:rsidR="00C173FD">
        <w:rPr>
          <w:rFonts w:ascii="Bookman Old Style" w:eastAsia="Calibri" w:hAnsi="Bookman Old Style" w:cs="Calibri"/>
          <w:bCs/>
          <w:iCs/>
          <w:szCs w:val="24"/>
        </w:rPr>
        <w:t>J</w:t>
      </w:r>
      <w:r w:rsidR="00C173FD" w:rsidRPr="00C173FD">
        <w:rPr>
          <w:rFonts w:ascii="Bookman Old Style" w:eastAsia="Calibri" w:hAnsi="Bookman Old Style" w:cs="Calibri"/>
          <w:bCs/>
          <w:iCs/>
          <w:szCs w:val="24"/>
        </w:rPr>
        <w:t xml:space="preserve">osé </w:t>
      </w:r>
      <w:r w:rsidR="00C173FD">
        <w:rPr>
          <w:rFonts w:ascii="Bookman Old Style" w:eastAsia="Calibri" w:hAnsi="Bookman Old Style" w:cs="Calibri"/>
          <w:bCs/>
          <w:iCs/>
          <w:szCs w:val="24"/>
        </w:rPr>
        <w:t>S</w:t>
      </w:r>
      <w:r w:rsidR="00C173FD" w:rsidRPr="00C173FD">
        <w:rPr>
          <w:rFonts w:ascii="Bookman Old Style" w:eastAsia="Calibri" w:hAnsi="Bookman Old Style" w:cs="Calibri"/>
          <w:bCs/>
          <w:iCs/>
          <w:szCs w:val="24"/>
        </w:rPr>
        <w:t xml:space="preserve">erpa </w:t>
      </w:r>
      <w:r w:rsidR="00C173FD">
        <w:rPr>
          <w:rFonts w:ascii="Bookman Old Style" w:eastAsia="Calibri" w:hAnsi="Bookman Old Style" w:cs="Calibri"/>
          <w:bCs/>
          <w:iCs/>
          <w:szCs w:val="24"/>
        </w:rPr>
        <w:t>M</w:t>
      </w:r>
      <w:r w:rsidR="00C173FD" w:rsidRPr="00C173FD">
        <w:rPr>
          <w:rFonts w:ascii="Bookman Old Style" w:eastAsia="Calibri" w:hAnsi="Bookman Old Style" w:cs="Calibri"/>
          <w:bCs/>
          <w:iCs/>
          <w:szCs w:val="24"/>
        </w:rPr>
        <w:t>oncada</w:t>
      </w:r>
      <w:r w:rsidR="00C173FD">
        <w:rPr>
          <w:rFonts w:ascii="Bookman Old Style" w:eastAsia="Calibri" w:hAnsi="Bookman Old Style" w:cs="Calibri"/>
          <w:bCs/>
          <w:iCs/>
          <w:szCs w:val="24"/>
        </w:rPr>
        <w:t>.</w:t>
      </w:r>
    </w:p>
    <w:p w14:paraId="19537867" w14:textId="323ECD41" w:rsidR="00C173FD" w:rsidRDefault="00C173FD" w:rsidP="009B6C3A">
      <w:pPr>
        <w:jc w:val="both"/>
        <w:rPr>
          <w:rFonts w:ascii="Bookman Old Style" w:eastAsia="Calibri" w:hAnsi="Bookman Old Style" w:cs="Calibri"/>
          <w:bCs/>
          <w:iCs/>
          <w:szCs w:val="24"/>
        </w:rPr>
      </w:pPr>
    </w:p>
    <w:p w14:paraId="2E54F52E" w14:textId="0FC6EC4C" w:rsidR="00C173FD" w:rsidRDefault="00C173FD"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18 de agosto de 2021 el proyecto de acto legislativo fue puesto en consideración de la Comisión Primera Constitucional Permanente de la Cámara de Representantes, siendo aprobado el día 24 de agosto de 2021. </w:t>
      </w:r>
      <w:r w:rsidR="003B34DE">
        <w:rPr>
          <w:rFonts w:ascii="Bookman Old Style" w:eastAsia="Calibri" w:hAnsi="Bookman Old Style" w:cs="Calibri"/>
          <w:bCs/>
          <w:iCs/>
          <w:szCs w:val="24"/>
        </w:rPr>
        <w:t>Por lo cual continuó su trámite en la Plenaria de la Cámara de Representantes, donde fue puesto en consideración el día 17 de noviembre de 2021, oportunidad en la que se archivó por no alcanzar las mayorías necesarias para su aprobación.</w:t>
      </w:r>
    </w:p>
    <w:p w14:paraId="388FCCFF" w14:textId="77777777" w:rsidR="00C173FD" w:rsidRDefault="00C173FD" w:rsidP="009B6C3A">
      <w:pPr>
        <w:jc w:val="both"/>
        <w:rPr>
          <w:rFonts w:ascii="Bookman Old Style" w:eastAsia="Calibri" w:hAnsi="Bookman Old Style" w:cs="Calibri"/>
          <w:bCs/>
          <w:iCs/>
          <w:szCs w:val="24"/>
        </w:rPr>
      </w:pPr>
    </w:p>
    <w:p w14:paraId="6A825B19" w14:textId="59612D1E" w:rsidR="00DA389D"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 xml:space="preserve">que surgieron durante su </w:t>
      </w:r>
      <w:r w:rsidR="0090453E">
        <w:rPr>
          <w:rFonts w:ascii="Bookman Old Style" w:eastAsia="Calibri" w:hAnsi="Bookman Old Style" w:cs="Calibri"/>
          <w:bCs/>
          <w:iCs/>
          <w:szCs w:val="24"/>
        </w:rPr>
        <w:t>tránsito en la Cámara de Representantes</w:t>
      </w:r>
      <w:r w:rsidR="00DA389D">
        <w:rPr>
          <w:rFonts w:ascii="Bookman Old Style" w:eastAsia="Calibri" w:hAnsi="Bookman Old Style" w:cs="Calibri"/>
          <w:bCs/>
          <w:iCs/>
          <w:szCs w:val="24"/>
        </w:rPr>
        <w:t>.</w:t>
      </w:r>
    </w:p>
    <w:p w14:paraId="000CC632" w14:textId="77777777" w:rsidR="00AF62CD" w:rsidRPr="009B6C3A" w:rsidRDefault="00AF62CD" w:rsidP="009B6C3A">
      <w:pPr>
        <w:jc w:val="both"/>
        <w:rPr>
          <w:rFonts w:ascii="Bookman Old Style" w:eastAsia="Calibri" w:hAnsi="Bookman Old Style" w:cs="Calibri"/>
          <w:bCs/>
          <w:iCs/>
          <w:szCs w:val="24"/>
        </w:rPr>
      </w:pPr>
    </w:p>
    <w:p w14:paraId="25EDC6DE" w14:textId="77777777" w:rsidR="009B6C3A" w:rsidRPr="009B6C3A" w:rsidRDefault="009B6C3A" w:rsidP="009B6C3A">
      <w:pPr>
        <w:jc w:val="both"/>
        <w:rPr>
          <w:rFonts w:eastAsia="Calibri"/>
        </w:rPr>
      </w:pPr>
    </w:p>
    <w:p w14:paraId="2DF304FF" w14:textId="477311E9"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251E8F6C" w14:textId="28EF55FF" w:rsidR="00AF62CD" w:rsidRPr="00C37B21" w:rsidRDefault="00F36280" w:rsidP="00C37B2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sidR="0090453E">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sidR="00753CAF">
        <w:rPr>
          <w:rFonts w:ascii="Bookman Old Style" w:eastAsia="Calibri" w:hAnsi="Bookman Old Style" w:cs="Calibri"/>
          <w:b w:val="0"/>
          <w:sz w:val="22"/>
          <w:szCs w:val="24"/>
        </w:rPr>
        <w:t>con la finalidad</w:t>
      </w:r>
      <w:r w:rsidR="00753CAF" w:rsidRPr="00485CC5">
        <w:rPr>
          <w:rFonts w:ascii="Bookman Old Style" w:eastAsia="Calibri" w:hAnsi="Bookman Old Style" w:cs="Calibri"/>
          <w:b w:val="0"/>
          <w:sz w:val="22"/>
          <w:szCs w:val="24"/>
        </w:rPr>
        <w:t xml:space="preserve"> </w:t>
      </w:r>
      <w:r w:rsidR="00153AC4">
        <w:rPr>
          <w:rFonts w:ascii="Bookman Old Style" w:eastAsia="Calibri" w:hAnsi="Bookman Old Style" w:cs="Calibri"/>
          <w:b w:val="0"/>
          <w:sz w:val="22"/>
          <w:szCs w:val="24"/>
        </w:rPr>
        <w:t>de</w:t>
      </w:r>
      <w:r w:rsidR="00AD5D59">
        <w:rPr>
          <w:rFonts w:ascii="Bookman Old Style" w:eastAsia="Calibri" w:hAnsi="Bookman Old Style" w:cs="Calibri"/>
          <w:b w:val="0"/>
          <w:sz w:val="22"/>
          <w:szCs w:val="24"/>
        </w:rPr>
        <w:t xml:space="preserve"> reconocer y garantizar los derechos fundamentales a la igualdad y al libre desarrollo de la </w:t>
      </w:r>
      <w:r w:rsidR="00285E76">
        <w:rPr>
          <w:rFonts w:ascii="Bookman Old Style" w:eastAsia="Calibri" w:hAnsi="Bookman Old Style" w:cs="Calibri"/>
          <w:b w:val="0"/>
          <w:sz w:val="22"/>
          <w:szCs w:val="24"/>
        </w:rPr>
        <w:t>personalidad, unificar</w:t>
      </w:r>
      <w:r w:rsidR="00C33DA6">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 xml:space="preserve">las referencias constitucionales, legales y jurisprudenciales sobre la materia </w:t>
      </w:r>
      <w:r w:rsidR="002548C6">
        <w:rPr>
          <w:rFonts w:ascii="Bookman Old Style" w:eastAsia="Calibri" w:hAnsi="Bookman Old Style" w:cs="Calibri"/>
          <w:b w:val="0"/>
          <w:sz w:val="22"/>
          <w:szCs w:val="24"/>
        </w:rPr>
        <w:t>y plantear</w:t>
      </w:r>
      <w:r w:rsidR="00C33DA6">
        <w:rPr>
          <w:rFonts w:ascii="Bookman Old Style" w:eastAsia="Calibri" w:hAnsi="Bookman Old Style" w:cs="Calibri"/>
          <w:b w:val="0"/>
          <w:sz w:val="22"/>
          <w:szCs w:val="24"/>
        </w:rPr>
        <w:t xml:space="preserve">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 xml:space="preserve">como </w:t>
      </w:r>
      <w:r w:rsidR="0090453E">
        <w:rPr>
          <w:rFonts w:ascii="Bookman Old Style" w:eastAsia="Calibri" w:hAnsi="Bookman Old Style" w:cs="Calibri"/>
          <w:b w:val="0"/>
          <w:sz w:val="22"/>
          <w:szCs w:val="24"/>
        </w:rPr>
        <w:t>táctica</w:t>
      </w:r>
      <w:r w:rsidR="00AD5D59">
        <w:rPr>
          <w:rFonts w:ascii="Bookman Old Style" w:eastAsia="Calibri" w:hAnsi="Bookman Old Style" w:cs="Calibri"/>
          <w:b w:val="0"/>
          <w:sz w:val="22"/>
          <w:szCs w:val="24"/>
        </w:rPr>
        <w:t xml:space="preserve"> para reducir la violencia en el país.</w:t>
      </w:r>
    </w:p>
    <w:p w14:paraId="0F4E5C5B" w14:textId="77777777" w:rsidR="00AF62CD" w:rsidRPr="00485CC5" w:rsidRDefault="00AF62CD" w:rsidP="00F36280">
      <w:pPr>
        <w:rPr>
          <w:rFonts w:ascii="Bookman Old Style" w:eastAsia="Calibri" w:hAnsi="Bookman Old Style" w:cs="Calibri"/>
          <w:szCs w:val="24"/>
        </w:rPr>
      </w:pPr>
    </w:p>
    <w:p w14:paraId="5D13AAD9" w14:textId="2482E041"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sidR="008D6C03">
        <w:rPr>
          <w:rFonts w:ascii="Bookman Old Style" w:eastAsia="Calibri" w:hAnsi="Bookman Old Style" w:cs="Calibri"/>
          <w:sz w:val="22"/>
          <w:szCs w:val="24"/>
        </w:rPr>
        <w:t>.</w:t>
      </w:r>
    </w:p>
    <w:p w14:paraId="568E2E28" w14:textId="77777777" w:rsidR="00F36280" w:rsidRPr="00485CC5" w:rsidRDefault="00F36280" w:rsidP="00F36280">
      <w:pPr>
        <w:ind w:left="822"/>
        <w:rPr>
          <w:rFonts w:ascii="Bookman Old Style" w:hAnsi="Bookman Old Style" w:cs="Calibri"/>
          <w:szCs w:val="24"/>
        </w:rPr>
      </w:pPr>
    </w:p>
    <w:p w14:paraId="278DA0E1" w14:textId="2C56446E"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 xml:space="preserve">En Colombia, </w:t>
      </w:r>
      <w:r w:rsidR="00153AC4">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sidR="00153AC4">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sidR="00C33DA6">
        <w:rPr>
          <w:rFonts w:ascii="Bookman Old Style" w:eastAsia="Calibri" w:hAnsi="Bookman Old Style" w:cs="Arial"/>
          <w:szCs w:val="24"/>
        </w:rPr>
        <w:t xml:space="preserve"> </w:t>
      </w:r>
      <w:r w:rsidRPr="00510F82">
        <w:rPr>
          <w:rFonts w:ascii="Bookman Old Style" w:eastAsia="Calibri" w:hAnsi="Bookman Old Style" w:cs="Arial"/>
          <w:szCs w:val="24"/>
        </w:rPr>
        <w:t>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xml:space="preserve">, salvo prescripción médica. Prohibición que fue incluida </w:t>
      </w:r>
      <w:r w:rsidR="00153AC4">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14:paraId="7F61A43D" w14:textId="77777777" w:rsidR="00452196" w:rsidRDefault="00452196" w:rsidP="00F36280">
      <w:pPr>
        <w:jc w:val="both"/>
        <w:rPr>
          <w:rFonts w:ascii="Bookman Old Style" w:eastAsia="Calibri" w:hAnsi="Bookman Old Style" w:cs="Calibri"/>
          <w:szCs w:val="24"/>
        </w:rPr>
      </w:pPr>
    </w:p>
    <w:p w14:paraId="5FE6A375" w14:textId="38F9A870"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w:t>
      </w:r>
      <w:r w:rsidR="00153AC4">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sidR="00153AC4">
        <w:rPr>
          <w:rFonts w:ascii="Bookman Old Style" w:eastAsia="Calibri" w:hAnsi="Bookman Old Style" w:cs="Arial"/>
          <w:szCs w:val="24"/>
        </w:rPr>
        <w:t xml:space="preserve">Esta sustancia fue eliminada </w:t>
      </w:r>
      <w:r w:rsidR="00153AC4" w:rsidRPr="00510F82">
        <w:rPr>
          <w:rFonts w:ascii="Bookman Old Style" w:eastAsia="Calibri" w:hAnsi="Bookman Old Style" w:cs="Arial"/>
          <w:szCs w:val="24"/>
        </w:rPr>
        <w:t>de la Lista IV</w:t>
      </w:r>
      <w:r w:rsidR="00153AC4" w:rsidRPr="00510F82">
        <w:rPr>
          <w:rStyle w:val="Refdenotaalpie"/>
          <w:rFonts w:ascii="Bookman Old Style" w:eastAsia="Calibri" w:hAnsi="Bookman Old Style" w:cs="Arial"/>
          <w:szCs w:val="24"/>
        </w:rPr>
        <w:footnoteReference w:id="3"/>
      </w:r>
      <w:r w:rsidR="00153AC4" w:rsidRPr="00510F82">
        <w:rPr>
          <w:rStyle w:val="Refdenotaalpie"/>
          <w:rFonts w:ascii="Bookman Old Style" w:eastAsia="Calibri" w:hAnsi="Bookman Old Style" w:cs="Arial"/>
          <w:szCs w:val="24"/>
        </w:rPr>
        <w:footnoteReference w:id="4"/>
      </w:r>
      <w:r w:rsidR="00153AC4" w:rsidRPr="00510F82">
        <w:rPr>
          <w:rFonts w:ascii="Bookman Old Style" w:eastAsia="Calibri" w:hAnsi="Bookman Old Style" w:cs="Arial"/>
          <w:szCs w:val="24"/>
        </w:rPr>
        <w:t xml:space="preserve"> de la Convención Única de 1961 sobre Estupefacientes</w:t>
      </w:r>
      <w:r w:rsidR="00153AC4">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sidR="002548C6" w:rsidRPr="00510F82">
        <w:rPr>
          <w:rFonts w:ascii="Bookman Old Style" w:eastAsia="Calibri" w:hAnsi="Bookman Old Style" w:cs="Arial"/>
          <w:szCs w:val="24"/>
        </w:rPr>
        <w:t>),</w:t>
      </w:r>
      <w:r w:rsidR="000512D5">
        <w:rPr>
          <w:rFonts w:ascii="Bookman Old Style" w:eastAsia="Calibri" w:hAnsi="Bookman Old Style" w:cs="Arial"/>
          <w:szCs w:val="24"/>
        </w:rPr>
        <w:t xml:space="preserve"> </w:t>
      </w:r>
      <w:r w:rsidR="00153AC4">
        <w:rPr>
          <w:rFonts w:ascii="Bookman Old Style" w:eastAsia="Calibri" w:hAnsi="Bookman Old Style" w:cs="Arial"/>
          <w:szCs w:val="24"/>
        </w:rPr>
        <w:t xml:space="preserve">requerimiento </w:t>
      </w:r>
      <w:r w:rsidR="000512D5">
        <w:rPr>
          <w:rFonts w:ascii="Bookman Old Style" w:eastAsia="Calibri" w:hAnsi="Bookman Old Style" w:cs="Arial"/>
          <w:szCs w:val="24"/>
        </w:rPr>
        <w:t>que fue acogid</w:t>
      </w:r>
      <w:r w:rsidR="00153AC4">
        <w:rPr>
          <w:rFonts w:ascii="Bookman Old Style" w:eastAsia="Calibri" w:hAnsi="Bookman Old Style" w:cs="Arial"/>
          <w:szCs w:val="24"/>
        </w:rPr>
        <w:t>o</w:t>
      </w:r>
      <w:r w:rsidR="000512D5">
        <w:rPr>
          <w:rFonts w:ascii="Bookman Old Style" w:eastAsia="Calibri" w:hAnsi="Bookman Old Style" w:cs="Arial"/>
          <w:szCs w:val="24"/>
        </w:rPr>
        <w:t xml:space="preserve"> por l</w:t>
      </w:r>
      <w:r w:rsidR="000512D5" w:rsidRPr="000512D5">
        <w:rPr>
          <w:rFonts w:ascii="Bookman Old Style" w:eastAsia="Calibri" w:hAnsi="Bookman Old Style" w:cs="Arial"/>
          <w:szCs w:val="24"/>
        </w:rPr>
        <w:t xml:space="preserve">a mayoría de los 53 Estados de la Comisión de Estupefacientes -el órgano Ejecutivo de la ONU en políticas de drogas- </w:t>
      </w:r>
      <w:r w:rsidR="000512D5">
        <w:rPr>
          <w:rFonts w:ascii="Bookman Old Style" w:eastAsia="Calibri" w:hAnsi="Bookman Old Style" w:cs="Arial"/>
          <w:szCs w:val="24"/>
        </w:rPr>
        <w:t xml:space="preserve">el cual </w:t>
      </w:r>
      <w:r w:rsidR="000512D5" w:rsidRPr="000512D5">
        <w:rPr>
          <w:rFonts w:ascii="Bookman Old Style" w:eastAsia="Calibri" w:hAnsi="Bookman Old Style" w:cs="Arial"/>
          <w:szCs w:val="24"/>
        </w:rPr>
        <w:t xml:space="preserve">decidió </w:t>
      </w:r>
      <w:r w:rsidR="000512D5">
        <w:rPr>
          <w:rFonts w:ascii="Bookman Old Style" w:eastAsia="Calibri" w:hAnsi="Bookman Old Style" w:cs="Arial"/>
          <w:szCs w:val="24"/>
        </w:rPr>
        <w:t>el 02 de diciembre de 2020</w:t>
      </w:r>
      <w:r w:rsidR="000512D5" w:rsidRPr="000512D5">
        <w:rPr>
          <w:rFonts w:ascii="Bookman Old Style" w:eastAsia="Calibri" w:hAnsi="Bookman Old Style" w:cs="Arial"/>
          <w:szCs w:val="24"/>
        </w:rPr>
        <w:t>.</w:t>
      </w:r>
      <w:r w:rsidR="000512D5">
        <w:rPr>
          <w:rStyle w:val="Refdenotaalpie"/>
          <w:rFonts w:ascii="Bookman Old Style" w:eastAsia="Calibri" w:hAnsi="Bookman Old Style" w:cs="Arial"/>
          <w:szCs w:val="24"/>
        </w:rPr>
        <w:footnoteReference w:id="5"/>
      </w:r>
    </w:p>
    <w:p w14:paraId="2E199D8A" w14:textId="77777777" w:rsidR="00F36280" w:rsidRPr="00485CC5" w:rsidRDefault="00F36280" w:rsidP="00F36280">
      <w:pPr>
        <w:jc w:val="both"/>
        <w:rPr>
          <w:rFonts w:ascii="Bookman Old Style" w:eastAsia="Calibri" w:hAnsi="Bookman Old Style" w:cs="Calibri"/>
          <w:szCs w:val="24"/>
        </w:rPr>
      </w:pPr>
    </w:p>
    <w:p w14:paraId="27BD8F66" w14:textId="5CBFB3D1" w:rsidR="00F36280" w:rsidRPr="00485CC5" w:rsidRDefault="00153AC4" w:rsidP="00F36280">
      <w:pPr>
        <w:jc w:val="both"/>
        <w:rPr>
          <w:rFonts w:ascii="Bookman Old Style" w:eastAsia="Calibri" w:hAnsi="Bookman Old Style" w:cs="Calibri"/>
          <w:szCs w:val="24"/>
        </w:rPr>
      </w:pPr>
      <w:r>
        <w:rPr>
          <w:rFonts w:ascii="Bookman Old Style" w:eastAsia="Calibri" w:hAnsi="Bookman Old Style" w:cs="Calibri"/>
          <w:szCs w:val="24"/>
        </w:rPr>
        <w:t>El Acto Legislativo 02 de 2019 fue regulado por l</w:t>
      </w:r>
      <w:r w:rsidRPr="00485CC5">
        <w:rPr>
          <w:rFonts w:ascii="Bookman Old Style" w:eastAsia="Calibri" w:hAnsi="Bookman Old Style" w:cs="Calibri"/>
          <w:szCs w:val="24"/>
        </w:rPr>
        <w:t xml:space="preserve">a </w:t>
      </w:r>
      <w:r w:rsidR="00F36280" w:rsidRPr="00485CC5">
        <w:rPr>
          <w:rFonts w:ascii="Bookman Old Style" w:eastAsia="Calibri" w:hAnsi="Bookman Old Style" w:cs="Calibri"/>
          <w:szCs w:val="24"/>
        </w:rPr>
        <w:t>Ley 1787 de 2016</w:t>
      </w:r>
      <w:r>
        <w:rPr>
          <w:rFonts w:ascii="Bookman Old Style" w:eastAsia="Calibri" w:hAnsi="Bookman Old Style" w:cs="Calibri"/>
          <w:szCs w:val="24"/>
        </w:rPr>
        <w:t>, norma que</w:t>
      </w:r>
      <w:r w:rsidR="00F36280"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00F36280"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00F36280" w:rsidRPr="00485CC5">
        <w:rPr>
          <w:rFonts w:ascii="Bookman Old Style" w:eastAsia="Calibri" w:hAnsi="Bookman Old Style" w:cs="Calibri"/>
          <w:szCs w:val="24"/>
          <w:u w:val="single"/>
        </w:rPr>
        <w:t>siempre y cuando su finalidad sea médica o científica</w:t>
      </w:r>
      <w:r w:rsidR="00F36280" w:rsidRPr="00485CC5">
        <w:rPr>
          <w:rFonts w:ascii="Bookman Old Style" w:eastAsia="Calibri" w:hAnsi="Bookman Old Style" w:cs="Calibri"/>
          <w:szCs w:val="24"/>
        </w:rPr>
        <w:t xml:space="preserve">. </w:t>
      </w:r>
      <w:r w:rsidR="00C61547">
        <w:rPr>
          <w:rFonts w:ascii="Bookman Old Style" w:eastAsia="Calibri" w:hAnsi="Bookman Old Style" w:cs="Calibri"/>
          <w:szCs w:val="24"/>
        </w:rPr>
        <w:t xml:space="preserve">Cabe recordar que según el acto legislativo estas sustancias únicamente podían utilizarse con fines médicos, mientras que la regulación </w:t>
      </w:r>
      <w:r w:rsidR="00285E76">
        <w:rPr>
          <w:rFonts w:ascii="Bookman Old Style" w:eastAsia="Calibri" w:hAnsi="Bookman Old Style" w:cs="Calibri"/>
          <w:szCs w:val="24"/>
        </w:rPr>
        <w:t>les</w:t>
      </w:r>
      <w:r w:rsidR="00C61547">
        <w:rPr>
          <w:rFonts w:ascii="Bookman Old Style" w:eastAsia="Calibri" w:hAnsi="Bookman Old Style" w:cs="Calibri"/>
          <w:szCs w:val="24"/>
        </w:rPr>
        <w:t xml:space="preserve"> abrió las puertas a otros usos, existiendo </w:t>
      </w:r>
      <w:r w:rsidR="00F36280" w:rsidRPr="00485CC5">
        <w:rPr>
          <w:rFonts w:ascii="Bookman Old Style" w:eastAsia="Calibri" w:hAnsi="Bookman Old Style" w:cs="Calibri"/>
          <w:szCs w:val="24"/>
        </w:rPr>
        <w:t>hoy en día una incoherencia entre la disposición constitucional y el desarrollo legal sobre la materia.</w:t>
      </w:r>
    </w:p>
    <w:p w14:paraId="2E3314D9" w14:textId="77777777" w:rsidR="00F36280" w:rsidRPr="00485CC5" w:rsidRDefault="00F36280" w:rsidP="00F36280">
      <w:pPr>
        <w:jc w:val="both"/>
        <w:rPr>
          <w:rFonts w:ascii="Bookman Old Style" w:eastAsia="Calibri" w:hAnsi="Bookman Old Style" w:cs="Calibri"/>
          <w:szCs w:val="24"/>
        </w:rPr>
      </w:pPr>
    </w:p>
    <w:p w14:paraId="78B385AC" w14:textId="5AC9F422" w:rsidR="00F36280"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0A79DD6" w14:textId="13F4F2A9" w:rsidR="00C61547" w:rsidRDefault="00C61547" w:rsidP="00F36280">
      <w:pPr>
        <w:jc w:val="both"/>
        <w:rPr>
          <w:rFonts w:ascii="Bookman Old Style" w:eastAsia="Calibri" w:hAnsi="Bookman Old Style" w:cs="Calibri"/>
          <w:szCs w:val="24"/>
        </w:rPr>
      </w:pPr>
    </w:p>
    <w:p w14:paraId="370DEE79" w14:textId="19F2E05A" w:rsidR="00C61547"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14:paraId="15958EC0" w14:textId="5DCA392D" w:rsidR="00C61547" w:rsidRDefault="00C61547" w:rsidP="00F36280">
      <w:pPr>
        <w:jc w:val="both"/>
        <w:rPr>
          <w:rFonts w:ascii="Bookman Old Style" w:eastAsia="Calibri" w:hAnsi="Bookman Old Style" w:cs="Calibri"/>
          <w:szCs w:val="24"/>
        </w:rPr>
      </w:pPr>
    </w:p>
    <w:p w14:paraId="320059ED" w14:textId="0DDBF562" w:rsidR="00C61547"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sumergido el país.</w:t>
      </w:r>
    </w:p>
    <w:p w14:paraId="4A6161E7" w14:textId="286FC3AD" w:rsidR="00C61547" w:rsidRDefault="00C61547" w:rsidP="00F36280">
      <w:pPr>
        <w:jc w:val="both"/>
        <w:rPr>
          <w:rFonts w:ascii="Bookman Old Style" w:eastAsia="Calibri" w:hAnsi="Bookman Old Style" w:cs="Calibri"/>
          <w:szCs w:val="24"/>
        </w:rPr>
      </w:pPr>
    </w:p>
    <w:p w14:paraId="62B29059" w14:textId="206C0BF0" w:rsidR="00C61547" w:rsidRPr="00485CC5"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14:paraId="1A1C0435" w14:textId="77777777" w:rsidR="00F36280" w:rsidRPr="00485CC5" w:rsidRDefault="00F36280" w:rsidP="00F36280">
      <w:pPr>
        <w:jc w:val="both"/>
        <w:rPr>
          <w:rFonts w:ascii="Bookman Old Style" w:eastAsia="Calibri" w:hAnsi="Bookman Old Style" w:cs="Calibri"/>
          <w:szCs w:val="24"/>
        </w:rPr>
      </w:pPr>
    </w:p>
    <w:p w14:paraId="3FDA2E4F" w14:textId="710B664F" w:rsidR="00F36280"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sidR="00B61B80">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sidR="00B61B80">
        <w:rPr>
          <w:rFonts w:ascii="Bookman Old Style" w:eastAsia="Calibri" w:hAnsi="Bookman Old Style" w:cs="Calibri"/>
          <w:szCs w:val="24"/>
        </w:rPr>
        <w:t>los</w:t>
      </w:r>
      <w:r w:rsidRPr="00485CC5">
        <w:rPr>
          <w:rFonts w:ascii="Bookman Old Style" w:eastAsia="Calibri" w:hAnsi="Bookman Old Style" w:cs="Calibri"/>
          <w:szCs w:val="24"/>
        </w:rPr>
        <w:t xml:space="preserve"> </w:t>
      </w:r>
      <w:r w:rsidR="00452196" w:rsidRPr="00485CC5">
        <w:rPr>
          <w:rFonts w:ascii="Bookman Old Style" w:eastAsia="Calibri" w:hAnsi="Bookman Old Style" w:cs="Calibri"/>
          <w:szCs w:val="24"/>
        </w:rPr>
        <w:t>uso</w:t>
      </w:r>
      <w:r w:rsidR="00B61B80">
        <w:rPr>
          <w:rFonts w:ascii="Bookman Old Style" w:eastAsia="Calibri" w:hAnsi="Bookman Old Style" w:cs="Calibri"/>
          <w:szCs w:val="24"/>
        </w:rPr>
        <w:t>s</w:t>
      </w:r>
      <w:r w:rsidRPr="00485CC5">
        <w:rPr>
          <w:rFonts w:ascii="Bookman Old Style" w:eastAsia="Calibri" w:hAnsi="Bookman Old Style" w:cs="Calibri"/>
          <w:szCs w:val="24"/>
        </w:rPr>
        <w:t xml:space="preserve"> medicinal,</w:t>
      </w:r>
      <w:r w:rsidR="00B61B80">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sidR="00DD272D">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sidR="00B61B80">
        <w:rPr>
          <w:rFonts w:ascii="Bookman Old Style" w:eastAsia="Calibri" w:hAnsi="Bookman Old Style" w:cs="Calibri"/>
          <w:szCs w:val="24"/>
        </w:rPr>
        <w:t xml:space="preserve">, no solo es pertinente, sino además es </w:t>
      </w:r>
      <w:r w:rsidR="00285E76">
        <w:rPr>
          <w:rFonts w:ascii="Bookman Old Style" w:eastAsia="Calibri" w:hAnsi="Bookman Old Style" w:cs="Calibri"/>
          <w:szCs w:val="24"/>
        </w:rPr>
        <w:t>necesaria</w:t>
      </w:r>
      <w:r w:rsidR="00B61B80">
        <w:rPr>
          <w:rFonts w:ascii="Bookman Old Style" w:eastAsia="Calibri" w:hAnsi="Bookman Old Style" w:cs="Calibri"/>
          <w:szCs w:val="24"/>
        </w:rPr>
        <w:t xml:space="preserve"> para subsanar las contradicciones e incoherencias que hoy en día persisten en nuestro ordenamiento jurídico. </w:t>
      </w:r>
      <w:r w:rsidR="00285E76">
        <w:rPr>
          <w:rFonts w:ascii="Bookman Old Style" w:eastAsia="Calibri" w:hAnsi="Bookman Old Style" w:cs="Calibri"/>
          <w:szCs w:val="24"/>
        </w:rPr>
        <w:t>A</w:t>
      </w:r>
      <w:r w:rsidR="000803C9">
        <w:rPr>
          <w:rFonts w:ascii="Bookman Old Style" w:eastAsia="Calibri" w:hAnsi="Bookman Old Style" w:cs="Calibri"/>
          <w:szCs w:val="24"/>
        </w:rPr>
        <w:t>unado</w:t>
      </w:r>
      <w:r w:rsidR="00285E76">
        <w:rPr>
          <w:rFonts w:ascii="Bookman Old Style" w:eastAsia="Calibri" w:hAnsi="Bookman Old Style" w:cs="Calibri"/>
          <w:szCs w:val="24"/>
        </w:rPr>
        <w:t>,</w:t>
      </w:r>
      <w:r w:rsidR="00B61B80">
        <w:rPr>
          <w:rFonts w:ascii="Bookman Old Style" w:eastAsia="Calibri" w:hAnsi="Bookman Old Style" w:cs="Calibri"/>
          <w:szCs w:val="24"/>
        </w:rPr>
        <w:t xml:space="preserve"> es necesario que Colombia se sume a</w:t>
      </w:r>
      <w:r w:rsidRPr="00485CC5">
        <w:rPr>
          <w:rFonts w:ascii="Bookman Old Style" w:eastAsia="Calibri" w:hAnsi="Bookman Old Style" w:cs="Calibri"/>
          <w:szCs w:val="24"/>
        </w:rPr>
        <w:t xml:space="preserve"> las actuales posturas globales </w:t>
      </w:r>
      <w:r w:rsidR="00B61B80">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sidR="00C02AAD">
        <w:rPr>
          <w:rFonts w:ascii="Bookman Old Style" w:eastAsia="Calibri" w:hAnsi="Bookman Old Style" w:cs="Calibri"/>
          <w:szCs w:val="24"/>
        </w:rPr>
        <w:t xml:space="preserve">, estrategias mucho más efectivas para afrontar la hasta ahora fallida lucha contra las drogas. </w:t>
      </w:r>
    </w:p>
    <w:p w14:paraId="6CE984E8" w14:textId="55ABA42C" w:rsidR="00C02AAD" w:rsidRDefault="00C02AAD" w:rsidP="00F36280">
      <w:pPr>
        <w:jc w:val="both"/>
        <w:rPr>
          <w:rFonts w:ascii="Bookman Old Style" w:eastAsia="Calibri" w:hAnsi="Bookman Old Style" w:cs="Calibri"/>
          <w:szCs w:val="24"/>
        </w:rPr>
      </w:pPr>
    </w:p>
    <w:p w14:paraId="34C6164F" w14:textId="77777777" w:rsidR="00C02AAD" w:rsidRPr="00485CC5" w:rsidRDefault="00C02AAD" w:rsidP="00F36280">
      <w:pPr>
        <w:jc w:val="both"/>
        <w:rPr>
          <w:rFonts w:ascii="Bookman Old Style" w:eastAsia="Calibri" w:hAnsi="Bookman Old Style" w:cs="Calibri"/>
          <w:szCs w:val="24"/>
        </w:rPr>
      </w:pPr>
    </w:p>
    <w:p w14:paraId="10AC2E3C" w14:textId="77777777" w:rsidR="00AF62CD" w:rsidRPr="00485CC5" w:rsidRDefault="00AF62CD" w:rsidP="00F36280">
      <w:pPr>
        <w:rPr>
          <w:rFonts w:ascii="Bookman Old Style" w:hAnsi="Bookman Old Style" w:cs="Calibri"/>
          <w:szCs w:val="24"/>
        </w:rPr>
      </w:pPr>
    </w:p>
    <w:p w14:paraId="26102736" w14:textId="4BE1D177" w:rsidR="00F36280" w:rsidRPr="00485CC5" w:rsidRDefault="00F36280" w:rsidP="000B0FBF">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732806A2" w14:textId="3350BB9D" w:rsidR="00F36280" w:rsidRPr="00485CC5" w:rsidRDefault="000046EF"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4</w:t>
      </w:r>
      <w:r w:rsidR="00F36280" w:rsidRPr="00485CC5">
        <w:rPr>
          <w:rFonts w:ascii="Bookman Old Style" w:eastAsia="Calibri" w:hAnsi="Bookman Old Style" w:cs="Calibri"/>
          <w:sz w:val="22"/>
          <w:szCs w:val="24"/>
        </w:rPr>
        <w:t>.1 ANTECEDENTES JURÍDICOS Y NORMATIVOS SOBRE LA MATERIA EN COLOMBIA</w:t>
      </w:r>
      <w:r w:rsidR="008D6C03">
        <w:rPr>
          <w:rFonts w:ascii="Bookman Old Style" w:eastAsia="Calibri" w:hAnsi="Bookman Old Style" w:cs="Calibri"/>
          <w:sz w:val="22"/>
          <w:szCs w:val="24"/>
        </w:rPr>
        <w:t>.</w:t>
      </w:r>
    </w:p>
    <w:p w14:paraId="6193732E" w14:textId="77777777" w:rsidR="00F36280" w:rsidRPr="00485CC5" w:rsidRDefault="00F36280" w:rsidP="00F36280">
      <w:pPr>
        <w:pStyle w:val="Ttulo2"/>
        <w:ind w:left="0"/>
        <w:jc w:val="both"/>
        <w:rPr>
          <w:rFonts w:ascii="Bookman Old Style" w:eastAsia="Calibri" w:hAnsi="Bookman Old Style"/>
          <w:b w:val="0"/>
          <w:sz w:val="22"/>
          <w:szCs w:val="24"/>
        </w:rPr>
      </w:pPr>
    </w:p>
    <w:p w14:paraId="70B68F23"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269E3358" w14:textId="77777777" w:rsidR="00F36280" w:rsidRPr="00485CC5" w:rsidRDefault="00F36280" w:rsidP="00F36280">
      <w:pPr>
        <w:rPr>
          <w:rFonts w:ascii="Bookman Old Style" w:eastAsia="Calibri" w:hAnsi="Bookman Old Style"/>
          <w:szCs w:val="24"/>
        </w:rPr>
      </w:pPr>
    </w:p>
    <w:p w14:paraId="1E2473BD"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7778D90C"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722B94D2" w14:textId="77777777"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0CF9390C" w14:textId="77777777" w:rsidR="00F36280" w:rsidRPr="00485CC5" w:rsidRDefault="00F36280" w:rsidP="00F36280">
      <w:pPr>
        <w:ind w:left="720" w:right="900"/>
        <w:jc w:val="both"/>
        <w:rPr>
          <w:rFonts w:ascii="Bookman Old Style" w:hAnsi="Bookman Old Style"/>
          <w:i/>
          <w:sz w:val="20"/>
        </w:rPr>
      </w:pPr>
    </w:p>
    <w:p w14:paraId="500E4578" w14:textId="77777777"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4E8BEAB4" w14:textId="77777777" w:rsidR="00F36280" w:rsidRPr="00485CC5" w:rsidRDefault="00F36280" w:rsidP="00F36280">
      <w:pPr>
        <w:rPr>
          <w:rFonts w:ascii="Bookman Old Style" w:eastAsia="Calibri" w:hAnsi="Bookman Old Style"/>
          <w:szCs w:val="24"/>
        </w:rPr>
      </w:pPr>
    </w:p>
    <w:p w14:paraId="68B7DA9F"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704B00CB" w14:textId="77777777" w:rsidR="00F36280" w:rsidRPr="00485CC5" w:rsidRDefault="00F36280" w:rsidP="00F36280">
      <w:pPr>
        <w:rPr>
          <w:rFonts w:ascii="Bookman Old Style" w:eastAsia="Calibri" w:hAnsi="Bookman Old Style"/>
          <w:szCs w:val="24"/>
        </w:rPr>
      </w:pPr>
    </w:p>
    <w:p w14:paraId="086A4F54"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71720C6D"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3F53934E"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446EBC9" w14:textId="77777777" w:rsidR="00F36280" w:rsidRPr="00485CC5" w:rsidRDefault="00F36280" w:rsidP="00F36280">
      <w:pPr>
        <w:rPr>
          <w:rFonts w:ascii="Bookman Old Style" w:eastAsia="Calibri" w:hAnsi="Bookman Old Style"/>
          <w:szCs w:val="24"/>
        </w:rPr>
      </w:pPr>
    </w:p>
    <w:p w14:paraId="2FD02655" w14:textId="33FC384D"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5F5B5A14"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4E9B8AE1"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02BBCDE"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68F97666" w14:textId="77777777"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45401A85" w14:textId="77777777" w:rsidR="00F36280" w:rsidRPr="00485CC5" w:rsidRDefault="00F36280" w:rsidP="00F36280">
      <w:pPr>
        <w:rPr>
          <w:rFonts w:ascii="Bookman Old Style" w:eastAsia="Calibri" w:hAnsi="Bookman Old Style"/>
          <w:b/>
          <w:szCs w:val="24"/>
        </w:rPr>
      </w:pPr>
    </w:p>
    <w:p w14:paraId="474636A2"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BAAC847" w14:textId="77777777" w:rsidR="00F36280" w:rsidRPr="00485CC5" w:rsidRDefault="00F36280" w:rsidP="00F36280">
      <w:pPr>
        <w:pStyle w:val="Ttulo2"/>
        <w:jc w:val="both"/>
        <w:rPr>
          <w:rFonts w:ascii="Bookman Old Style" w:eastAsia="Calibri" w:hAnsi="Bookman Old Style" w:cs="Calibri"/>
          <w:b w:val="0"/>
          <w:sz w:val="22"/>
          <w:szCs w:val="24"/>
        </w:rPr>
      </w:pPr>
    </w:p>
    <w:p w14:paraId="11D24D6C" w14:textId="38E93A17"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w:t>
      </w:r>
      <w:r w:rsidR="002B69BC">
        <w:rPr>
          <w:rFonts w:ascii="Bookman Old Style" w:eastAsia="Calibri" w:hAnsi="Bookman Old Style" w:cs="Calibri"/>
          <w:b w:val="0"/>
          <w:sz w:val="22"/>
          <w:szCs w:val="24"/>
        </w:rPr>
        <w:t xml:space="preserve"> y científicos</w:t>
      </w:r>
      <w:r w:rsidR="00F36280" w:rsidRPr="00485CC5">
        <w:rPr>
          <w:rFonts w:ascii="Bookman Old Style" w:eastAsia="Calibri" w:hAnsi="Bookman Old Style" w:cs="Calibri"/>
          <w:b w:val="0"/>
          <w:sz w:val="22"/>
          <w:szCs w:val="24"/>
        </w:rPr>
        <w:t xml:space="preserve"> del cannabis, </w:t>
      </w:r>
      <w:r w:rsidR="002B69BC" w:rsidRPr="00485CC5">
        <w:rPr>
          <w:rFonts w:ascii="Bookman Old Style" w:eastAsia="Calibri" w:hAnsi="Bookman Old Style" w:cs="Calibri"/>
          <w:b w:val="0"/>
          <w:sz w:val="22"/>
          <w:szCs w:val="24"/>
        </w:rPr>
        <w:t>previsi</w:t>
      </w:r>
      <w:r w:rsidR="002B69BC">
        <w:rPr>
          <w:rFonts w:ascii="Bookman Old Style" w:eastAsia="Calibri" w:hAnsi="Bookman Old Style" w:cs="Calibri"/>
          <w:b w:val="0"/>
          <w:sz w:val="22"/>
          <w:szCs w:val="24"/>
        </w:rPr>
        <w:t>o</w:t>
      </w:r>
      <w:r w:rsidR="002B69BC" w:rsidRPr="00485CC5">
        <w:rPr>
          <w:rFonts w:ascii="Bookman Old Style" w:eastAsia="Calibri" w:hAnsi="Bookman Old Style" w:cs="Calibri"/>
          <w:b w:val="0"/>
          <w:sz w:val="22"/>
          <w:szCs w:val="24"/>
        </w:rPr>
        <w:t>n</w:t>
      </w:r>
      <w:r w:rsidR="002B69BC">
        <w:rPr>
          <w:rFonts w:ascii="Bookman Old Style" w:eastAsia="Calibri" w:hAnsi="Bookman Old Style" w:cs="Calibri"/>
          <w:b w:val="0"/>
          <w:sz w:val="22"/>
          <w:szCs w:val="24"/>
        </w:rPr>
        <w:t>es</w:t>
      </w:r>
      <w:r w:rsidR="002B69BC" w:rsidRPr="00485CC5">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que no necesariamente se enmarca en la referencia del artículo 49 de la Constitución que se refiere exclusivamente a la tenencia de una fórmula médica. </w:t>
      </w:r>
    </w:p>
    <w:p w14:paraId="4BF0E500" w14:textId="77777777" w:rsidR="00F36280" w:rsidRPr="00485CC5" w:rsidRDefault="00F36280" w:rsidP="00F36280">
      <w:pPr>
        <w:pStyle w:val="Ttulo2"/>
        <w:jc w:val="both"/>
        <w:rPr>
          <w:rFonts w:ascii="Bookman Old Style" w:eastAsia="Calibri" w:hAnsi="Bookman Old Style" w:cs="Calibri"/>
          <w:b w:val="0"/>
          <w:sz w:val="22"/>
          <w:szCs w:val="24"/>
        </w:rPr>
      </w:pPr>
    </w:p>
    <w:p w14:paraId="738E16C0"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0BB737" w14:textId="77777777" w:rsidR="00F36280" w:rsidRPr="00485CC5" w:rsidRDefault="00F36280" w:rsidP="00F36280">
      <w:pPr>
        <w:pStyle w:val="Ttulo2"/>
        <w:jc w:val="both"/>
        <w:rPr>
          <w:rFonts w:ascii="Bookman Old Style" w:eastAsia="Calibri" w:hAnsi="Bookman Old Style" w:cs="Calibri"/>
          <w:b w:val="0"/>
          <w:sz w:val="22"/>
          <w:szCs w:val="24"/>
        </w:rPr>
      </w:pPr>
    </w:p>
    <w:p w14:paraId="35808F60" w14:textId="0E714D7F"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200919EA" w14:textId="77777777" w:rsidR="00F36280" w:rsidRPr="00485CC5" w:rsidRDefault="00F36280" w:rsidP="00F36280">
      <w:pPr>
        <w:rPr>
          <w:rFonts w:ascii="Bookman Old Style" w:eastAsia="Calibri" w:hAnsi="Bookman Old Style"/>
          <w:szCs w:val="24"/>
        </w:rPr>
      </w:pPr>
    </w:p>
    <w:p w14:paraId="1833D6CA" w14:textId="05E24DF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w:t>
      </w:r>
      <w:r w:rsidR="002C4673">
        <w:rPr>
          <w:rFonts w:ascii="Bookman Old Style" w:eastAsia="Calibri" w:hAnsi="Bookman Old Style" w:cs="Calibri"/>
          <w:szCs w:val="24"/>
        </w:rPr>
        <w:t xml:space="preserve">en contravía de los derechos ya reconocidos por la jurisprudencia nacional. Proceso que además no otorgaba las garantías propias del debido proceso y que </w:t>
      </w:r>
      <w:r w:rsidR="00F36280" w:rsidRPr="00485CC5">
        <w:rPr>
          <w:rFonts w:ascii="Bookman Old Style" w:eastAsia="Calibri" w:hAnsi="Bookman Old Style" w:cs="Calibri"/>
          <w:szCs w:val="24"/>
        </w:rPr>
        <w:t>una serie de estigmatizaciones en contra de los consumidores.</w:t>
      </w:r>
    </w:p>
    <w:p w14:paraId="17C3C061" w14:textId="77777777" w:rsidR="00F36280" w:rsidRPr="00485CC5" w:rsidRDefault="00F36280" w:rsidP="00F36280">
      <w:pPr>
        <w:rPr>
          <w:rFonts w:eastAsia="Calibri"/>
        </w:rPr>
      </w:pPr>
    </w:p>
    <w:p w14:paraId="4BB7F72B" w14:textId="2359DD8F" w:rsidR="00F36280" w:rsidRPr="00485CC5" w:rsidRDefault="002C4673" w:rsidP="00F36280">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00F36280" w:rsidRPr="00485CC5">
        <w:rPr>
          <w:rFonts w:ascii="Bookman Old Style" w:eastAsia="Calibri" w:hAnsi="Bookman Old Style" w:cs="Calibri"/>
          <w:b w:val="0"/>
          <w:sz w:val="22"/>
          <w:szCs w:val="24"/>
        </w:rPr>
        <w:t xml:space="preserve"> el año 1994, como se evidenció el 9 de marzo de 2016, cuando</w:t>
      </w:r>
      <w:r w:rsidR="00DC49AD">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00F36280"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6B9213B8"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5E0B77A6" w14:textId="499575E4" w:rsidR="00F36280" w:rsidRDefault="00E52C4F" w:rsidP="00F36280">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00F36280" w:rsidRPr="00485CC5">
        <w:rPr>
          <w:rFonts w:ascii="Bookman Old Style" w:eastAsia="Calibri" w:hAnsi="Bookman Old Style" w:cs="Calibri"/>
          <w:b w:val="0"/>
          <w:sz w:val="22"/>
          <w:szCs w:val="24"/>
        </w:rPr>
        <w:t>y</w:t>
      </w:r>
      <w:r w:rsidR="00C8439A">
        <w:rPr>
          <w:rFonts w:ascii="Bookman Old Style" w:eastAsia="Calibri" w:hAnsi="Bookman Old Style" w:cs="Calibri"/>
          <w:b w:val="0"/>
          <w:sz w:val="22"/>
          <w:szCs w:val="24"/>
        </w:rPr>
        <w:t>,</w:t>
      </w:r>
      <w:r w:rsidR="00F36280"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00F36280"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00F36280"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78F9F43E" w14:textId="77777777" w:rsidR="00C8439A" w:rsidRPr="00C8439A" w:rsidRDefault="00C8439A" w:rsidP="00C8439A">
      <w:pPr>
        <w:rPr>
          <w:rFonts w:eastAsia="Calibri"/>
        </w:rPr>
      </w:pPr>
    </w:p>
    <w:p w14:paraId="726DE370" w14:textId="69653A41" w:rsidR="00D318E3" w:rsidRPr="002C010E" w:rsidRDefault="00E52C4F" w:rsidP="001D5D7C">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No obstante, a través de </w:t>
      </w:r>
      <w:r w:rsidR="00F36280" w:rsidRPr="002C010E">
        <w:rPr>
          <w:rFonts w:ascii="Bookman Old Style" w:eastAsia="Calibri" w:hAnsi="Bookman Old Style" w:cs="Calibri"/>
          <w:b w:val="0"/>
          <w:sz w:val="22"/>
          <w:szCs w:val="22"/>
        </w:rPr>
        <w:t xml:space="preserve">sentencia C-253 de 2019, </w:t>
      </w:r>
      <w:r w:rsidRPr="002C010E">
        <w:rPr>
          <w:rFonts w:ascii="Bookman Old Style" w:eastAsia="Calibri" w:hAnsi="Bookman Old Style" w:cs="Calibri"/>
          <w:b w:val="0"/>
          <w:sz w:val="22"/>
          <w:szCs w:val="22"/>
        </w:rPr>
        <w:t xml:space="preserve">la Corte Constitucional dio fin a esta discusión declarando </w:t>
      </w:r>
      <w:r w:rsidR="00F36280" w:rsidRPr="002C010E">
        <w:rPr>
          <w:rFonts w:ascii="Bookman Old Style" w:eastAsia="Calibri" w:hAnsi="Bookman Old Style" w:cs="Calibri"/>
          <w:b w:val="0"/>
          <w:sz w:val="22"/>
          <w:szCs w:val="22"/>
        </w:rPr>
        <w:t xml:space="preserve">inexequible </w:t>
      </w:r>
      <w:r w:rsidR="000C074B" w:rsidRPr="002C010E">
        <w:rPr>
          <w:rFonts w:ascii="Bookman Old Style" w:eastAsia="Calibri" w:hAnsi="Bookman Old Style" w:cs="Calibri"/>
          <w:b w:val="0"/>
          <w:sz w:val="22"/>
          <w:szCs w:val="22"/>
        </w:rPr>
        <w:t xml:space="preserve">las expresiones ‘alcohólicas, psicoactivas o’ contenidas en </w:t>
      </w:r>
      <w:r w:rsidR="00A47C6C" w:rsidRPr="002C010E">
        <w:rPr>
          <w:rFonts w:ascii="Bookman Old Style" w:eastAsia="Calibri" w:hAnsi="Bookman Old Style" w:cs="Calibri"/>
          <w:b w:val="0"/>
          <w:sz w:val="22"/>
          <w:szCs w:val="22"/>
        </w:rPr>
        <w:t>los</w:t>
      </w:r>
      <w:r w:rsidR="000C074B" w:rsidRPr="002C010E">
        <w:rPr>
          <w:rFonts w:ascii="Bookman Old Style" w:eastAsia="Calibri" w:hAnsi="Bookman Old Style" w:cs="Calibri"/>
          <w:b w:val="0"/>
          <w:sz w:val="22"/>
          <w:szCs w:val="22"/>
        </w:rPr>
        <w:t xml:space="preserve"> Artículo</w:t>
      </w:r>
      <w:r w:rsidR="00A47C6C" w:rsidRPr="002C010E">
        <w:rPr>
          <w:rFonts w:ascii="Bookman Old Style" w:eastAsia="Calibri" w:hAnsi="Bookman Old Style" w:cs="Calibri"/>
          <w:b w:val="0"/>
          <w:sz w:val="22"/>
          <w:szCs w:val="22"/>
        </w:rPr>
        <w:t>s</w:t>
      </w:r>
      <w:r w:rsidR="000C074B" w:rsidRPr="002C010E">
        <w:rPr>
          <w:rFonts w:ascii="Bookman Old Style" w:eastAsia="Calibri" w:hAnsi="Bookman Old Style" w:cs="Calibri"/>
          <w:b w:val="0"/>
          <w:sz w:val="22"/>
          <w:szCs w:val="22"/>
        </w:rPr>
        <w:t xml:space="preserve"> 33 (literal c, numeral 2) </w:t>
      </w:r>
      <w:r w:rsidR="00A47C6C" w:rsidRPr="002C010E">
        <w:rPr>
          <w:rFonts w:ascii="Bookman Old Style" w:eastAsia="Calibri" w:hAnsi="Bookman Old Style" w:cs="Calibri"/>
          <w:b w:val="0"/>
          <w:sz w:val="22"/>
          <w:szCs w:val="22"/>
        </w:rPr>
        <w:t xml:space="preserve">y 140 (numeral 7) </w:t>
      </w:r>
      <w:r w:rsidR="000C074B" w:rsidRPr="002C010E">
        <w:rPr>
          <w:rFonts w:ascii="Bookman Old Style" w:eastAsia="Calibri" w:hAnsi="Bookman Old Style" w:cs="Calibri"/>
          <w:b w:val="0"/>
          <w:sz w:val="22"/>
          <w:szCs w:val="22"/>
        </w:rPr>
        <w:t>del Código Nacional de Policía y Convivencia (Ley 1801 de 2016)</w:t>
      </w:r>
      <w:r w:rsidR="00F36280" w:rsidRPr="002C010E">
        <w:rPr>
          <w:rStyle w:val="Refdenotaalpie"/>
          <w:rFonts w:ascii="Bookman Old Style" w:eastAsia="Calibri" w:hAnsi="Bookman Old Style" w:cs="Calibri"/>
          <w:b w:val="0"/>
          <w:i/>
          <w:sz w:val="22"/>
          <w:szCs w:val="22"/>
        </w:rPr>
        <w:footnoteReference w:id="6"/>
      </w:r>
      <w:r w:rsidR="00F36280" w:rsidRPr="002C010E">
        <w:rPr>
          <w:rFonts w:ascii="Bookman Old Style" w:eastAsia="Calibri" w:hAnsi="Bookman Old Style" w:cs="Calibri"/>
          <w:b w:val="0"/>
          <w:i/>
          <w:sz w:val="22"/>
          <w:szCs w:val="22"/>
        </w:rPr>
        <w:t xml:space="preserve">. </w:t>
      </w:r>
      <w:r w:rsidR="00A47C6C" w:rsidRPr="002C010E">
        <w:rPr>
          <w:rFonts w:ascii="Bookman Old Style" w:eastAsia="Calibri" w:hAnsi="Bookman Old Style" w:cs="Calibri"/>
          <w:b w:val="0"/>
          <w:iCs/>
          <w:sz w:val="22"/>
          <w:szCs w:val="22"/>
        </w:rPr>
        <w:t>Toda vez que</w:t>
      </w:r>
      <w:r w:rsidR="00A47C6C" w:rsidRPr="002C010E">
        <w:rPr>
          <w:rFonts w:ascii="Bookman Old Style" w:eastAsia="Calibri" w:hAnsi="Bookman Old Style" w:cs="Calibri"/>
          <w:b w:val="0"/>
          <w:sz w:val="22"/>
          <w:szCs w:val="22"/>
        </w:rPr>
        <w:t xml:space="preserve"> </w:t>
      </w:r>
      <w:r w:rsidR="00F36280"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00D318E3" w:rsidRPr="002C010E">
        <w:rPr>
          <w:rFonts w:ascii="Bookman Old Style" w:eastAsia="Calibri" w:hAnsi="Bookman Old Style" w:cs="Calibri"/>
          <w:b w:val="0"/>
          <w:sz w:val="22"/>
          <w:szCs w:val="22"/>
        </w:rPr>
        <w:t>, así lo afirmó la corte para cada uno de los artículos:</w:t>
      </w:r>
    </w:p>
    <w:p w14:paraId="768AEC71" w14:textId="4B2D2B61" w:rsidR="00D318E3" w:rsidRPr="002C010E" w:rsidRDefault="00D318E3" w:rsidP="001D5D7C">
      <w:pPr>
        <w:pStyle w:val="Ttulo2"/>
        <w:ind w:left="0"/>
        <w:jc w:val="both"/>
        <w:rPr>
          <w:rFonts w:ascii="Bookman Old Style" w:eastAsia="Calibri" w:hAnsi="Bookman Old Style" w:cs="Calibri"/>
          <w:b w:val="0"/>
          <w:sz w:val="22"/>
          <w:szCs w:val="22"/>
        </w:rPr>
      </w:pPr>
    </w:p>
    <w:p w14:paraId="441DE743" w14:textId="2685C20E" w:rsidR="00D318E3" w:rsidRPr="002C010E" w:rsidRDefault="00D318E3" w:rsidP="002C010E">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14:paraId="747267AD" w14:textId="26DD6433" w:rsidR="002C010E" w:rsidRPr="001D5D7C" w:rsidRDefault="002C010E" w:rsidP="002C010E">
      <w:pPr>
        <w:pStyle w:val="Prrafodelista"/>
        <w:jc w:val="both"/>
        <w:rPr>
          <w:rFonts w:ascii="Bookman Old Style" w:eastAsia="Calibri" w:hAnsi="Bookman Old Style"/>
        </w:rPr>
      </w:pPr>
      <w:r w:rsidRPr="002C010E">
        <w:rPr>
          <w:rFonts w:ascii="Bookman Old Style" w:eastAsia="Calibri" w:hAnsi="Bookman Old Style"/>
        </w:rPr>
        <w:t>(…)</w:t>
      </w:r>
    </w:p>
    <w:p w14:paraId="5C3A2384" w14:textId="06BAB77D" w:rsidR="00D318E3" w:rsidRPr="001D5D7C" w:rsidRDefault="00D318E3" w:rsidP="001D5D7C">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14:paraId="6C840844" w14:textId="7A2A7954" w:rsidR="00D318E3" w:rsidRPr="001D5D7C" w:rsidRDefault="00D318E3" w:rsidP="001D5D7C">
      <w:pPr>
        <w:jc w:val="both"/>
        <w:rPr>
          <w:rFonts w:ascii="Bookman Old Style" w:eastAsia="Calibri" w:hAnsi="Bookman Old Style"/>
        </w:rPr>
      </w:pPr>
    </w:p>
    <w:p w14:paraId="4A7D7E28" w14:textId="6BE2D48E" w:rsidR="00D318E3" w:rsidRPr="001D5D7C" w:rsidRDefault="00D318E3" w:rsidP="001D5D7C">
      <w:pPr>
        <w:ind w:left="851" w:right="616"/>
        <w:jc w:val="both"/>
        <w:rPr>
          <w:rFonts w:ascii="Bookman Old Style" w:eastAsia="Calibri" w:hAnsi="Bookman Old Style"/>
          <w:i/>
          <w:iCs/>
        </w:rPr>
      </w:pPr>
      <w:r w:rsidRPr="001D5D7C">
        <w:rPr>
          <w:rFonts w:ascii="Bookman Old Style" w:hAnsi="Bookman Old Style"/>
          <w:i/>
          <w:iCs/>
          <w:shd w:val="clear" w:color="auto" w:fill="FFFFFF"/>
        </w:rPr>
        <w:t>“Respecto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1D5D7C">
        <w:rPr>
          <w:rStyle w:val="Refdenotaalpie"/>
          <w:rFonts w:ascii="Bookman Old Style" w:hAnsi="Bookman Old Style"/>
          <w:i/>
          <w:iCs/>
          <w:shd w:val="clear" w:color="auto" w:fill="FFFFFF"/>
        </w:rPr>
        <w:footnoteReference w:id="7"/>
      </w:r>
    </w:p>
    <w:p w14:paraId="7A517308" w14:textId="6A8A91A7" w:rsidR="00D318E3" w:rsidRPr="001D5D7C" w:rsidRDefault="00D318E3" w:rsidP="001D5D7C">
      <w:pPr>
        <w:jc w:val="both"/>
        <w:rPr>
          <w:rFonts w:ascii="Bookman Old Style" w:eastAsia="Calibri" w:hAnsi="Bookman Old Style"/>
        </w:rPr>
      </w:pPr>
    </w:p>
    <w:p w14:paraId="41C0D5DD" w14:textId="77777777" w:rsidR="002C010E" w:rsidRDefault="002C010E" w:rsidP="00D318E3">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14:paraId="140589D3" w14:textId="71E38DB9" w:rsidR="00D318E3" w:rsidRPr="001D5D7C" w:rsidRDefault="00D318E3" w:rsidP="001D5D7C">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prohibidas en estadios, coliseos, centros deportivos, parques, hospitales, centros de salud y en general, en el espacio público, excepto en las actividades autorizadas por la autoridad competente.</w:t>
      </w:r>
    </w:p>
    <w:p w14:paraId="37EA8FB1" w14:textId="43B5A3A9" w:rsidR="00D318E3" w:rsidRPr="001D5D7C" w:rsidRDefault="00D318E3" w:rsidP="001D5D7C">
      <w:pPr>
        <w:jc w:val="both"/>
        <w:rPr>
          <w:rFonts w:ascii="Bookman Old Style" w:hAnsi="Bookman Old Style" w:cs="Open Sans"/>
        </w:rPr>
      </w:pPr>
    </w:p>
    <w:p w14:paraId="2A546E0D" w14:textId="0D492B1C" w:rsidR="00D318E3" w:rsidRPr="001D5D7C" w:rsidRDefault="002C010E" w:rsidP="001D5D7C">
      <w:pPr>
        <w:ind w:left="851" w:right="616"/>
        <w:jc w:val="both"/>
        <w:rPr>
          <w:rFonts w:ascii="Bookman Old Style" w:eastAsia="Calibri" w:hAnsi="Bookman Old Style"/>
          <w:i/>
          <w:iCs/>
        </w:rPr>
      </w:pPr>
      <w:r w:rsidRPr="001D5D7C">
        <w:rPr>
          <w:rFonts w:ascii="Bookman Old Style" w:hAnsi="Bookman Old Style"/>
          <w:i/>
          <w:iCs/>
          <w:shd w:val="clear" w:color="auto" w:fill="FFFFFF"/>
        </w:rPr>
        <w:t>“</w:t>
      </w:r>
      <w:r w:rsidR="00D318E3"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Fonts w:ascii="Bookman Old Style" w:hAnsi="Bookman Old Style"/>
          <w:i/>
          <w:iCs/>
          <w:shd w:val="clear" w:color="auto" w:fill="FFFFFF"/>
        </w:rPr>
        <w:t>”</w:t>
      </w:r>
      <w:r w:rsidRPr="001D5D7C">
        <w:rPr>
          <w:rStyle w:val="Refdenotaalpie"/>
          <w:rFonts w:ascii="Bookman Old Style" w:hAnsi="Bookman Old Style"/>
          <w:i/>
          <w:iCs/>
          <w:shd w:val="clear" w:color="auto" w:fill="FFFFFF"/>
        </w:rPr>
        <w:footnoteReference w:id="8"/>
      </w:r>
    </w:p>
    <w:p w14:paraId="042A3E2A" w14:textId="77777777" w:rsidR="00D318E3" w:rsidRPr="002C010E" w:rsidRDefault="00D318E3" w:rsidP="001D5D7C">
      <w:pPr>
        <w:jc w:val="both"/>
        <w:rPr>
          <w:rFonts w:ascii="Bookman Old Style" w:eastAsia="Calibri" w:hAnsi="Bookman Old Style"/>
        </w:rPr>
      </w:pPr>
    </w:p>
    <w:p w14:paraId="281BDFAB" w14:textId="68A9852F" w:rsidR="00F36280" w:rsidRPr="002C010E" w:rsidRDefault="00D318E3" w:rsidP="00D318E3">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Argumentos que s</w:t>
      </w:r>
      <w:r w:rsidR="00F36280" w:rsidRPr="002C010E">
        <w:rPr>
          <w:rFonts w:ascii="Bookman Old Style" w:eastAsia="Calibri" w:hAnsi="Bookman Old Style" w:cs="Calibri"/>
          <w:b w:val="0"/>
          <w:sz w:val="22"/>
          <w:szCs w:val="22"/>
        </w:rPr>
        <w:t>e enmarca</w:t>
      </w:r>
      <w:r w:rsidRPr="002C010E">
        <w:rPr>
          <w:rFonts w:ascii="Bookman Old Style" w:eastAsia="Calibri" w:hAnsi="Bookman Old Style" w:cs="Calibri"/>
          <w:b w:val="0"/>
          <w:sz w:val="22"/>
          <w:szCs w:val="22"/>
        </w:rPr>
        <w:t>n</w:t>
      </w:r>
      <w:r w:rsidR="00F36280" w:rsidRPr="002C010E">
        <w:rPr>
          <w:rFonts w:ascii="Bookman Old Style" w:eastAsia="Calibri" w:hAnsi="Bookman Old Style" w:cs="Calibri"/>
          <w:b w:val="0"/>
          <w:sz w:val="22"/>
          <w:szCs w:val="22"/>
        </w:rPr>
        <w:t xml:space="preserve"> en la ya enunciada línea jurisprudencial que identifica estos asuntos como propios de la órbita del individuo. </w:t>
      </w:r>
    </w:p>
    <w:p w14:paraId="50606163" w14:textId="30B4AD67" w:rsidR="00F36280" w:rsidRDefault="00F36280" w:rsidP="00F36280">
      <w:pPr>
        <w:jc w:val="both"/>
        <w:rPr>
          <w:rFonts w:ascii="Bookman Old Style" w:eastAsia="Calibri" w:hAnsi="Bookman Old Style" w:cs="Calibri"/>
          <w:szCs w:val="24"/>
        </w:rPr>
      </w:pPr>
    </w:p>
    <w:p w14:paraId="1E6D0E54" w14:textId="0FD28FFC" w:rsidR="00CE71F2" w:rsidRDefault="00CE71F2" w:rsidP="00F36280">
      <w:pPr>
        <w:jc w:val="both"/>
        <w:rPr>
          <w:rFonts w:ascii="Bookman Old Style" w:eastAsia="Calibri" w:hAnsi="Bookman Old Style" w:cs="Calibri"/>
          <w:szCs w:val="24"/>
        </w:rPr>
      </w:pPr>
      <w:r>
        <w:rPr>
          <w:rFonts w:ascii="Bookman Old Style" w:eastAsia="Calibri" w:hAnsi="Bookman Old Style" w:cs="Calibri"/>
          <w:szCs w:val="24"/>
        </w:rPr>
        <w:t>El consejo de Estado a su vez, en sentencia del 30 de abril de 2020, dentro del proceso de nulidad del Decreto 1844 de 2018</w:t>
      </w:r>
      <w:r w:rsidR="00497756">
        <w:rPr>
          <w:rFonts w:ascii="Bookman Old Style" w:eastAsia="Calibri" w:hAnsi="Bookman Old Style" w:cs="Calibri"/>
          <w:szCs w:val="24"/>
        </w:rPr>
        <w:t xml:space="preserve"> </w:t>
      </w:r>
      <w:r w:rsidR="00497756"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00497756"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w:t>
      </w:r>
      <w:r w:rsidR="00497756">
        <w:rPr>
          <w:rFonts w:ascii="Bookman Old Style" w:eastAsia="Calibri" w:hAnsi="Bookman Old Style" w:cs="Calibri"/>
          <w:szCs w:val="24"/>
        </w:rPr>
        <w:t xml:space="preserve"> condicionado</w:t>
      </w:r>
      <w:r w:rsidR="00A43FAE">
        <w:rPr>
          <w:rFonts w:ascii="Bookman Old Style" w:eastAsia="Calibri" w:hAnsi="Bookman Old Style" w:cs="Calibri"/>
          <w:szCs w:val="24"/>
        </w:rPr>
        <w:t>, en el entendido que:</w:t>
      </w:r>
    </w:p>
    <w:p w14:paraId="1BEA69BA" w14:textId="452CCBE9" w:rsidR="00A43FAE" w:rsidRDefault="00A43FAE" w:rsidP="00F36280">
      <w:pPr>
        <w:jc w:val="both"/>
        <w:rPr>
          <w:rFonts w:ascii="Bookman Old Style" w:eastAsia="Calibri" w:hAnsi="Bookman Old Style" w:cs="Calibri"/>
          <w:szCs w:val="24"/>
        </w:rPr>
      </w:pPr>
    </w:p>
    <w:p w14:paraId="6B940AC7" w14:textId="47395004" w:rsidR="00A43FAE" w:rsidRPr="001D5D7C" w:rsidRDefault="00A43FAE" w:rsidP="001D5D7C">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t>“</w:t>
      </w:r>
      <w:r w:rsidRPr="001D5D7C">
        <w:rPr>
          <w:rFonts w:ascii="Bookman Old Style" w:hAnsi="Bookman Old Style" w:cs="Arial"/>
          <w:i/>
          <w:iCs/>
          <w:color w:val="000000"/>
        </w:rPr>
        <w:t>El acto demandado reglamenta el CNSCC respecto de los verbos de porte, tenencia y posesión de SPA, cuando esa conducta traspasa la esfera íntima 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14:paraId="130C96C5" w14:textId="77777777" w:rsidR="00A43FAE" w:rsidRDefault="00A43FAE" w:rsidP="001D5D7C">
      <w:pPr>
        <w:widowControl/>
        <w:ind w:left="720"/>
        <w:jc w:val="both"/>
        <w:rPr>
          <w:rFonts w:ascii="Bookman Old Style" w:hAnsi="Bookman Old Style" w:cs="Arial"/>
          <w:i/>
          <w:iCs/>
          <w:color w:val="000000"/>
        </w:rPr>
      </w:pPr>
    </w:p>
    <w:p w14:paraId="296E6C7B" w14:textId="4FC9FD70" w:rsidR="00A43FAE" w:rsidRPr="001D5D7C" w:rsidRDefault="00A43FAE" w:rsidP="001D5D7C">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14:paraId="71E0A85C" w14:textId="77777777" w:rsidR="00A43FAE" w:rsidRDefault="00A43FAE" w:rsidP="001D5D7C">
      <w:pPr>
        <w:widowControl/>
        <w:ind w:left="720"/>
        <w:jc w:val="both"/>
        <w:rPr>
          <w:rFonts w:ascii="Bookman Old Style" w:hAnsi="Bookman Old Style" w:cs="Arial"/>
          <w:i/>
          <w:iCs/>
          <w:color w:val="000000"/>
        </w:rPr>
      </w:pPr>
    </w:p>
    <w:p w14:paraId="0C446BA6" w14:textId="2FA9E82F" w:rsidR="00A43FAE" w:rsidRPr="001D5D7C" w:rsidRDefault="00A43FAE" w:rsidP="001D5D7C">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14:paraId="7230FFB1" w14:textId="77777777" w:rsidR="00CE71F2" w:rsidRPr="00485CC5" w:rsidRDefault="00CE71F2" w:rsidP="00F36280">
      <w:pPr>
        <w:jc w:val="both"/>
        <w:rPr>
          <w:rFonts w:ascii="Bookman Old Style" w:eastAsia="Calibri" w:hAnsi="Bookman Old Style" w:cs="Calibri"/>
          <w:szCs w:val="24"/>
        </w:rPr>
      </w:pPr>
    </w:p>
    <w:p w14:paraId="1C84EAA2" w14:textId="76103238"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sidR="00E52C4F">
        <w:rPr>
          <w:rFonts w:ascii="Bookman Old Style" w:eastAsia="Calibri" w:hAnsi="Bookman Old Style" w:cs="Calibri"/>
          <w:szCs w:val="24"/>
        </w:rPr>
        <w:t xml:space="preserve"> una pugna en lo que respecta al consumo de sustancias psicoactivas. Por un </w:t>
      </w:r>
      <w:r w:rsidR="00BE056A">
        <w:rPr>
          <w:rFonts w:ascii="Bookman Old Style" w:eastAsia="Calibri" w:hAnsi="Bookman Old Style" w:cs="Calibri"/>
          <w:szCs w:val="24"/>
        </w:rPr>
        <w:t>lado,</w:t>
      </w:r>
      <w:r w:rsidR="00E52C4F">
        <w:rPr>
          <w:rFonts w:ascii="Bookman Old Style" w:eastAsia="Calibri" w:hAnsi="Bookman Old Style" w:cs="Calibri"/>
          <w:szCs w:val="24"/>
        </w:rPr>
        <w:t xml:space="preserve"> el Gobierno ha sostenido y defendido</w:t>
      </w:r>
      <w:r w:rsidRPr="00485CC5">
        <w:rPr>
          <w:rFonts w:ascii="Bookman Old Style" w:eastAsia="Calibri" w:hAnsi="Bookman Old Style" w:cs="Calibri"/>
          <w:szCs w:val="24"/>
        </w:rPr>
        <w:t xml:space="preserve"> una</w:t>
      </w:r>
      <w:r w:rsidR="00E52C4F">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sidR="00E52C4F">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sidR="00E52C4F">
        <w:rPr>
          <w:rFonts w:ascii="Bookman Old Style" w:eastAsia="Calibri" w:hAnsi="Bookman Old Style" w:cs="Calibri"/>
          <w:szCs w:val="24"/>
        </w:rPr>
        <w:t xml:space="preserve"> la cual se ha visto materializada en </w:t>
      </w:r>
      <w:r w:rsidR="00E52C4F" w:rsidRPr="00485CC5">
        <w:rPr>
          <w:rFonts w:ascii="Bookman Old Style" w:eastAsia="Calibri" w:hAnsi="Bookman Old Style" w:cs="Calibri"/>
          <w:szCs w:val="24"/>
        </w:rPr>
        <w:t xml:space="preserve">el Acto Legislativo 02 de 2009, el Código Nacional de Policía y el Decreto 1844 de 2018. </w:t>
      </w:r>
      <w:r w:rsidRPr="00485CC5">
        <w:rPr>
          <w:rFonts w:ascii="Bookman Old Style" w:eastAsia="Calibri" w:hAnsi="Bookman Old Style" w:cs="Calibri"/>
          <w:szCs w:val="24"/>
        </w:rPr>
        <w:t xml:space="preserve"> </w:t>
      </w:r>
      <w:r w:rsidR="00770D70">
        <w:rPr>
          <w:rFonts w:ascii="Bookman Old Style" w:eastAsia="Calibri" w:hAnsi="Bookman Old Style" w:cs="Calibri"/>
          <w:szCs w:val="24"/>
        </w:rPr>
        <w:t xml:space="preserve">Postura que se contrapone </w:t>
      </w:r>
      <w:r w:rsidR="00E52C4F">
        <w:rPr>
          <w:rFonts w:ascii="Bookman Old Style" w:eastAsia="Calibri" w:hAnsi="Bookman Old Style" w:cs="Calibri"/>
          <w:szCs w:val="24"/>
        </w:rPr>
        <w:t>las posiciones</w:t>
      </w:r>
      <w:r w:rsidRPr="00485CC5">
        <w:rPr>
          <w:rFonts w:ascii="Bookman Old Style" w:eastAsia="Calibri" w:hAnsi="Bookman Old Style" w:cs="Calibri"/>
          <w:szCs w:val="24"/>
        </w:rPr>
        <w:t xml:space="preserve"> reivindicatoria</w:t>
      </w:r>
      <w:r w:rsidR="00E52C4F">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sidR="00E52C4F">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sidR="00770D70">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sidR="00770D70">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sidR="00770D70">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sidR="00770D70">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14:paraId="33EBB5BF" w14:textId="77777777" w:rsidR="00F36280" w:rsidRPr="00485CC5" w:rsidRDefault="00F36280" w:rsidP="00F36280">
      <w:pPr>
        <w:jc w:val="both"/>
        <w:rPr>
          <w:rFonts w:ascii="Bookman Old Style" w:eastAsia="Calibri" w:hAnsi="Bookman Old Style" w:cs="Calibri"/>
          <w:szCs w:val="24"/>
        </w:rPr>
      </w:pPr>
    </w:p>
    <w:p w14:paraId="74A81F2C"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70C0E36D" w14:textId="77777777" w:rsidR="00F36280" w:rsidRDefault="00F36280" w:rsidP="00F36280">
      <w:pPr>
        <w:jc w:val="both"/>
        <w:rPr>
          <w:rFonts w:ascii="Bookman Old Style" w:eastAsia="Calibri" w:hAnsi="Bookman Old Style" w:cs="Calibri"/>
          <w:b/>
          <w:szCs w:val="24"/>
        </w:rPr>
      </w:pPr>
    </w:p>
    <w:p w14:paraId="7242DD1A" w14:textId="2EE15A98" w:rsidR="00780580" w:rsidRPr="00780580" w:rsidRDefault="00780580" w:rsidP="00780580">
      <w:pPr>
        <w:jc w:val="both"/>
        <w:rPr>
          <w:rFonts w:ascii="Bookman Old Style" w:eastAsia="Calibri" w:hAnsi="Bookman Old Style" w:cs="Calibri"/>
          <w:b/>
        </w:rPr>
      </w:pPr>
      <w:r w:rsidRPr="00780580">
        <w:rPr>
          <w:rFonts w:ascii="Bookman Old Style" w:eastAsia="Calibri" w:hAnsi="Bookman Old Style" w:cs="Calibri"/>
          <w:b/>
        </w:rPr>
        <w:t>4.2 POSTURA ACTUAL FRENTE AL USO DEL CANNABIS A NIVEL INTERNACIONAL</w:t>
      </w:r>
      <w:r w:rsidR="008D6C03">
        <w:rPr>
          <w:rFonts w:ascii="Bookman Old Style" w:eastAsia="Calibri" w:hAnsi="Bookman Old Style" w:cs="Calibri"/>
          <w:b/>
        </w:rPr>
        <w:t>.</w:t>
      </w:r>
    </w:p>
    <w:p w14:paraId="0A292835" w14:textId="77777777" w:rsidR="00780580" w:rsidRPr="00780580" w:rsidRDefault="00780580" w:rsidP="00780580">
      <w:pPr>
        <w:pStyle w:val="Sinespaciado"/>
        <w:rPr>
          <w:rFonts w:ascii="Bookman Old Style" w:eastAsia="Calibri" w:hAnsi="Bookman Old Style"/>
        </w:rPr>
      </w:pPr>
    </w:p>
    <w:p w14:paraId="67F8332C" w14:textId="77777777" w:rsidR="00780580" w:rsidRPr="00780580" w:rsidRDefault="00780580" w:rsidP="00780580">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14:paraId="37D0087C" w14:textId="77777777" w:rsidR="00780580" w:rsidRPr="00780580" w:rsidRDefault="00780580" w:rsidP="00780580">
      <w:pPr>
        <w:jc w:val="both"/>
        <w:rPr>
          <w:rFonts w:ascii="Bookman Old Style" w:eastAsia="Calibri" w:hAnsi="Bookman Old Style"/>
        </w:rPr>
      </w:pPr>
    </w:p>
    <w:p w14:paraId="42E24D4C"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14:paraId="7EBC24B0" w14:textId="77777777" w:rsidR="00780580" w:rsidRPr="00780580" w:rsidRDefault="00780580" w:rsidP="00780580">
      <w:pPr>
        <w:jc w:val="both"/>
        <w:rPr>
          <w:rFonts w:ascii="Bookman Old Style" w:eastAsia="Calibri" w:hAnsi="Bookman Old Style"/>
        </w:rPr>
      </w:pPr>
    </w:p>
    <w:p w14:paraId="12D86A1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1. </w:t>
      </w:r>
    </w:p>
    <w:p w14:paraId="136B2C28"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189C3A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6D240F05" w14:textId="77777777" w:rsidR="00780580" w:rsidRPr="00780580" w:rsidRDefault="00780580" w:rsidP="00780580">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80580" w:rsidRPr="00780580" w14:paraId="14F5E0C0" w14:textId="77777777" w:rsidTr="00BC095F">
        <w:trPr>
          <w:trHeight w:val="20"/>
        </w:trPr>
        <w:tc>
          <w:tcPr>
            <w:tcW w:w="2978" w:type="dxa"/>
            <w:shd w:val="clear" w:color="auto" w:fill="BFBFBF" w:themeFill="background1" w:themeFillShade="BF"/>
            <w:vAlign w:val="center"/>
          </w:tcPr>
          <w:p w14:paraId="1B6130D9" w14:textId="77777777" w:rsidR="00780580" w:rsidRPr="00780580" w:rsidRDefault="00780580" w:rsidP="00BC095F">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7A9BBC63" w14:textId="77777777" w:rsidR="00780580" w:rsidRPr="00780580" w:rsidRDefault="00780580" w:rsidP="00BC095F">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43970DB6" w14:textId="77777777" w:rsidR="00780580" w:rsidRPr="00780580" w:rsidRDefault="00780580" w:rsidP="00BC095F">
            <w:pPr>
              <w:jc w:val="center"/>
              <w:rPr>
                <w:rFonts w:ascii="Bookman Old Style" w:hAnsi="Bookman Old Style"/>
                <w:b/>
              </w:rPr>
            </w:pPr>
            <w:r w:rsidRPr="00780580">
              <w:rPr>
                <w:rFonts w:ascii="Bookman Old Style" w:hAnsi="Bookman Old Style"/>
                <w:b/>
              </w:rPr>
              <w:t>CANADÁ</w:t>
            </w:r>
          </w:p>
        </w:tc>
      </w:tr>
      <w:tr w:rsidR="00780580" w:rsidRPr="00780580" w14:paraId="406ECADE" w14:textId="77777777" w:rsidTr="00BC095F">
        <w:trPr>
          <w:trHeight w:val="20"/>
        </w:trPr>
        <w:tc>
          <w:tcPr>
            <w:tcW w:w="9876" w:type="dxa"/>
            <w:gridSpan w:val="3"/>
            <w:shd w:val="clear" w:color="auto" w:fill="D9D9D9" w:themeFill="background1" w:themeFillShade="D9"/>
            <w:vAlign w:val="center"/>
          </w:tcPr>
          <w:p w14:paraId="37BBF33A"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Enfoque</w:t>
            </w:r>
          </w:p>
        </w:tc>
      </w:tr>
      <w:tr w:rsidR="00780580" w:rsidRPr="00780580" w14:paraId="2D5EB1E9" w14:textId="77777777" w:rsidTr="00BC095F">
        <w:trPr>
          <w:trHeight w:val="20"/>
        </w:trPr>
        <w:tc>
          <w:tcPr>
            <w:tcW w:w="2978" w:type="dxa"/>
            <w:vAlign w:val="center"/>
          </w:tcPr>
          <w:p w14:paraId="7569757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69CC801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655AEA2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6BD638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14333E6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0CED99C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23084F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6A6AABC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194C271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1985641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80580" w:rsidRPr="00780580" w14:paraId="25AF40BA" w14:textId="77777777" w:rsidTr="00BC095F">
        <w:trPr>
          <w:trHeight w:val="20"/>
        </w:trPr>
        <w:tc>
          <w:tcPr>
            <w:tcW w:w="9876" w:type="dxa"/>
            <w:gridSpan w:val="3"/>
            <w:shd w:val="clear" w:color="auto" w:fill="D9D9D9" w:themeFill="background1" w:themeFillShade="D9"/>
            <w:vAlign w:val="center"/>
          </w:tcPr>
          <w:p w14:paraId="24DBF769" w14:textId="77777777" w:rsidR="00780580" w:rsidRPr="00780580" w:rsidRDefault="00780580" w:rsidP="00BC095F">
            <w:pPr>
              <w:jc w:val="center"/>
              <w:rPr>
                <w:rFonts w:ascii="Bookman Old Style" w:hAnsi="Bookman Old Style"/>
                <w:b/>
                <w:i/>
              </w:rPr>
            </w:pPr>
            <w:r w:rsidRPr="00780580">
              <w:rPr>
                <w:rFonts w:ascii="Bookman Old Style" w:hAnsi="Bookman Old Style"/>
                <w:b/>
                <w:i/>
              </w:rPr>
              <w:t>Objetivos</w:t>
            </w:r>
          </w:p>
        </w:tc>
      </w:tr>
      <w:tr w:rsidR="00780580" w:rsidRPr="00780580" w14:paraId="61B6525D" w14:textId="77777777" w:rsidTr="00BC095F">
        <w:trPr>
          <w:trHeight w:val="20"/>
        </w:trPr>
        <w:tc>
          <w:tcPr>
            <w:tcW w:w="2978" w:type="dxa"/>
            <w:vAlign w:val="center"/>
          </w:tcPr>
          <w:p w14:paraId="4F52E14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39996C7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4DE2B48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0D34415D" w14:textId="77777777" w:rsidR="00780580" w:rsidRPr="00780580" w:rsidRDefault="00780580" w:rsidP="00BC095F">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28BC479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5A13CF5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450601C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127E88C8" w14:textId="77777777" w:rsidR="00780580" w:rsidRPr="00780580" w:rsidRDefault="00780580" w:rsidP="00BC095F">
            <w:pPr>
              <w:jc w:val="center"/>
              <w:rPr>
                <w:rFonts w:ascii="Bookman Old Style" w:hAnsi="Bookman Old Style" w:cs="Calibri"/>
              </w:rPr>
            </w:pPr>
          </w:p>
          <w:p w14:paraId="1B522C90" w14:textId="77777777" w:rsidR="00780580" w:rsidRPr="00780580" w:rsidRDefault="00780580" w:rsidP="00BC095F">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3A8443D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7F2C4DE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80580" w:rsidRPr="00780580" w14:paraId="727C83B8" w14:textId="77777777" w:rsidTr="00BC095F">
        <w:trPr>
          <w:trHeight w:val="20"/>
        </w:trPr>
        <w:tc>
          <w:tcPr>
            <w:tcW w:w="9876" w:type="dxa"/>
            <w:gridSpan w:val="3"/>
            <w:shd w:val="clear" w:color="auto" w:fill="D9D9D9" w:themeFill="background1" w:themeFillShade="D9"/>
            <w:vAlign w:val="center"/>
          </w:tcPr>
          <w:p w14:paraId="2A82AEE6" w14:textId="77777777" w:rsidR="00780580" w:rsidRPr="00780580" w:rsidRDefault="00780580" w:rsidP="00BC095F">
            <w:pPr>
              <w:jc w:val="center"/>
              <w:rPr>
                <w:rFonts w:ascii="Bookman Old Style" w:hAnsi="Bookman Old Style"/>
                <w:b/>
                <w:i/>
                <w:lang w:val="en-US"/>
              </w:rPr>
            </w:pPr>
            <w:r w:rsidRPr="00780580">
              <w:rPr>
                <w:rFonts w:ascii="Bookman Old Style" w:hAnsi="Bookman Old Style"/>
                <w:b/>
                <w:i/>
                <w:lang w:val="en-US"/>
              </w:rPr>
              <w:t>Entidad que regula</w:t>
            </w:r>
          </w:p>
        </w:tc>
      </w:tr>
      <w:tr w:rsidR="00780580" w:rsidRPr="00B91948" w14:paraId="2172FB4C" w14:textId="77777777" w:rsidTr="00BC095F">
        <w:trPr>
          <w:trHeight w:val="20"/>
        </w:trPr>
        <w:tc>
          <w:tcPr>
            <w:tcW w:w="2978" w:type="dxa"/>
            <w:vAlign w:val="center"/>
          </w:tcPr>
          <w:p w14:paraId="2DD625B4"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0B71279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14:paraId="0F094E8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7315ABF6" w14:textId="77777777" w:rsidR="00780580" w:rsidRPr="00780580" w:rsidRDefault="00780580" w:rsidP="00BC095F">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80580" w:rsidRPr="00780580" w14:paraId="75DB5D1B" w14:textId="77777777" w:rsidTr="00BC095F">
        <w:trPr>
          <w:trHeight w:val="20"/>
        </w:trPr>
        <w:tc>
          <w:tcPr>
            <w:tcW w:w="9876" w:type="dxa"/>
            <w:gridSpan w:val="3"/>
            <w:shd w:val="clear" w:color="auto" w:fill="D9D9D9" w:themeFill="background1" w:themeFillShade="D9"/>
            <w:vAlign w:val="center"/>
          </w:tcPr>
          <w:p w14:paraId="531F610F" w14:textId="77777777" w:rsidR="00780580" w:rsidRPr="00780580" w:rsidRDefault="00780580" w:rsidP="00BC095F">
            <w:pPr>
              <w:jc w:val="center"/>
              <w:rPr>
                <w:rFonts w:ascii="Bookman Old Style" w:hAnsi="Bookman Old Style"/>
              </w:rPr>
            </w:pPr>
            <w:r w:rsidRPr="00780580">
              <w:rPr>
                <w:rFonts w:ascii="Bookman Old Style" w:hAnsi="Bookman Old Style"/>
                <w:b/>
                <w:i/>
              </w:rPr>
              <w:t>Distribución</w:t>
            </w:r>
          </w:p>
        </w:tc>
      </w:tr>
      <w:tr w:rsidR="00780580" w:rsidRPr="00780580" w14:paraId="49658D5C" w14:textId="77777777" w:rsidTr="00BC095F">
        <w:trPr>
          <w:trHeight w:val="20"/>
        </w:trPr>
        <w:tc>
          <w:tcPr>
            <w:tcW w:w="2978" w:type="dxa"/>
            <w:vAlign w:val="center"/>
          </w:tcPr>
          <w:p w14:paraId="7B8FBAC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14:paraId="53FD93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42011D7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FD35F7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B01B21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B1A0B19"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3128A9C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00052BB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16A630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80580" w:rsidRPr="00780580" w14:paraId="35B0BDAB" w14:textId="77777777" w:rsidTr="00BC095F">
        <w:trPr>
          <w:trHeight w:val="20"/>
        </w:trPr>
        <w:tc>
          <w:tcPr>
            <w:tcW w:w="9876" w:type="dxa"/>
            <w:gridSpan w:val="3"/>
            <w:shd w:val="clear" w:color="auto" w:fill="D9D9D9" w:themeFill="background1" w:themeFillShade="D9"/>
            <w:vAlign w:val="center"/>
          </w:tcPr>
          <w:p w14:paraId="57ECE24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Establecimientos de venta</w:t>
            </w:r>
          </w:p>
        </w:tc>
      </w:tr>
      <w:tr w:rsidR="00780580" w:rsidRPr="00780580" w14:paraId="085E8F81" w14:textId="77777777" w:rsidTr="00BC095F">
        <w:trPr>
          <w:trHeight w:val="20"/>
        </w:trPr>
        <w:tc>
          <w:tcPr>
            <w:tcW w:w="2978" w:type="dxa"/>
            <w:vAlign w:val="center"/>
          </w:tcPr>
          <w:p w14:paraId="58690BB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50F3F12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97663EB" w14:textId="77777777" w:rsidR="00780580" w:rsidRPr="00780580" w:rsidRDefault="00780580" w:rsidP="00BC095F">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0DE3FB8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E36072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79BCF5BF" w14:textId="77777777" w:rsidR="00780580" w:rsidRPr="00780580" w:rsidRDefault="00780580" w:rsidP="00BC095F">
            <w:pPr>
              <w:rPr>
                <w:rFonts w:ascii="Bookman Old Style" w:hAnsi="Bookman Old Style"/>
              </w:rPr>
            </w:pPr>
          </w:p>
          <w:p w14:paraId="612CA263" w14:textId="77777777" w:rsidR="00780580" w:rsidRPr="00780580" w:rsidRDefault="00780580" w:rsidP="00BC095F">
            <w:pPr>
              <w:rPr>
                <w:rFonts w:ascii="Bookman Old Style" w:hAnsi="Bookman Old Style"/>
              </w:rPr>
            </w:pPr>
          </w:p>
        </w:tc>
      </w:tr>
      <w:tr w:rsidR="00780580" w:rsidRPr="00780580" w14:paraId="4765454E" w14:textId="77777777" w:rsidTr="00BC095F">
        <w:trPr>
          <w:trHeight w:val="20"/>
        </w:trPr>
        <w:tc>
          <w:tcPr>
            <w:tcW w:w="9876" w:type="dxa"/>
            <w:gridSpan w:val="3"/>
            <w:shd w:val="clear" w:color="auto" w:fill="D9D9D9" w:themeFill="background1" w:themeFillShade="D9"/>
            <w:vAlign w:val="center"/>
          </w:tcPr>
          <w:p w14:paraId="2EB3EBAE"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Edad permitida</w:t>
            </w:r>
          </w:p>
        </w:tc>
      </w:tr>
      <w:tr w:rsidR="00780580" w:rsidRPr="00780580" w14:paraId="1734E91B" w14:textId="77777777" w:rsidTr="00BC095F">
        <w:trPr>
          <w:trHeight w:val="20"/>
        </w:trPr>
        <w:tc>
          <w:tcPr>
            <w:tcW w:w="2978" w:type="dxa"/>
            <w:vAlign w:val="center"/>
          </w:tcPr>
          <w:p w14:paraId="1320AC09" w14:textId="77777777" w:rsidR="00780580" w:rsidRPr="00780580" w:rsidRDefault="00780580" w:rsidP="00BC095F">
            <w:pPr>
              <w:jc w:val="center"/>
              <w:rPr>
                <w:rFonts w:ascii="Bookman Old Style" w:hAnsi="Bookman Old Style"/>
              </w:rPr>
            </w:pPr>
            <w:r w:rsidRPr="00780580">
              <w:rPr>
                <w:rFonts w:ascii="Bookman Old Style" w:hAnsi="Bookman Old Style"/>
              </w:rPr>
              <w:t>18 años</w:t>
            </w:r>
          </w:p>
        </w:tc>
        <w:tc>
          <w:tcPr>
            <w:tcW w:w="4111" w:type="dxa"/>
            <w:vAlign w:val="center"/>
          </w:tcPr>
          <w:p w14:paraId="6774A1EB" w14:textId="77777777" w:rsidR="00780580" w:rsidRPr="00780580" w:rsidRDefault="00780580" w:rsidP="00BC095F">
            <w:pPr>
              <w:jc w:val="center"/>
              <w:rPr>
                <w:rFonts w:ascii="Bookman Old Style" w:hAnsi="Bookman Old Style"/>
              </w:rPr>
            </w:pPr>
            <w:r w:rsidRPr="00780580">
              <w:rPr>
                <w:rFonts w:ascii="Bookman Old Style" w:hAnsi="Bookman Old Style"/>
              </w:rPr>
              <w:t>21 años</w:t>
            </w:r>
          </w:p>
        </w:tc>
        <w:tc>
          <w:tcPr>
            <w:tcW w:w="2787" w:type="dxa"/>
            <w:vAlign w:val="center"/>
          </w:tcPr>
          <w:p w14:paraId="0074AD9C" w14:textId="77777777" w:rsidR="00780580" w:rsidRPr="00780580" w:rsidRDefault="00780580" w:rsidP="00BC095F">
            <w:pPr>
              <w:jc w:val="center"/>
              <w:rPr>
                <w:rFonts w:ascii="Bookman Old Style" w:hAnsi="Bookman Old Style"/>
              </w:rPr>
            </w:pPr>
            <w:r w:rsidRPr="00780580">
              <w:rPr>
                <w:rFonts w:ascii="Bookman Old Style" w:hAnsi="Bookman Old Style"/>
              </w:rPr>
              <w:t>18 a 21 años según la provincia</w:t>
            </w:r>
          </w:p>
        </w:tc>
      </w:tr>
      <w:tr w:rsidR="00780580" w:rsidRPr="00780580" w14:paraId="0BF7831E" w14:textId="77777777" w:rsidTr="00BC095F">
        <w:trPr>
          <w:trHeight w:val="20"/>
        </w:trPr>
        <w:tc>
          <w:tcPr>
            <w:tcW w:w="9876" w:type="dxa"/>
            <w:gridSpan w:val="3"/>
            <w:shd w:val="clear" w:color="auto" w:fill="D9D9D9" w:themeFill="background1" w:themeFillShade="D9"/>
            <w:vAlign w:val="center"/>
          </w:tcPr>
          <w:p w14:paraId="63DF6376" w14:textId="77777777" w:rsidR="00780580" w:rsidRPr="00780580" w:rsidRDefault="00780580" w:rsidP="00BC095F">
            <w:pPr>
              <w:jc w:val="center"/>
              <w:rPr>
                <w:rFonts w:ascii="Bookman Old Style" w:hAnsi="Bookman Old Style"/>
              </w:rPr>
            </w:pPr>
            <w:r w:rsidRPr="00780580">
              <w:rPr>
                <w:rFonts w:ascii="Bookman Old Style" w:hAnsi="Bookman Old Style"/>
                <w:b/>
                <w:i/>
              </w:rPr>
              <w:t>Registro</w:t>
            </w:r>
          </w:p>
        </w:tc>
      </w:tr>
      <w:tr w:rsidR="00780580" w:rsidRPr="00780580" w14:paraId="082DD968" w14:textId="77777777" w:rsidTr="00BC095F">
        <w:trPr>
          <w:trHeight w:val="20"/>
        </w:trPr>
        <w:tc>
          <w:tcPr>
            <w:tcW w:w="2978" w:type="dxa"/>
            <w:vAlign w:val="center"/>
          </w:tcPr>
          <w:p w14:paraId="316DDE9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14:paraId="5F00B4F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392A984F" w14:textId="66637AD7" w:rsidR="00780580" w:rsidRPr="00780580" w:rsidRDefault="00780580" w:rsidP="00BC095F">
            <w:pPr>
              <w:jc w:val="both"/>
              <w:rPr>
                <w:rFonts w:ascii="Bookman Old Style" w:hAnsi="Bookman Old Style"/>
              </w:rPr>
            </w:pPr>
            <w:r w:rsidRPr="00780580">
              <w:rPr>
                <w:rFonts w:ascii="Bookman Old Style" w:eastAsia="Calibri" w:hAnsi="Bookman Old Style" w:cs="Calibri"/>
              </w:rPr>
              <w:t xml:space="preserve">No se permite según la </w:t>
            </w:r>
            <w:r w:rsidR="002548C6" w:rsidRPr="00780580">
              <w:rPr>
                <w:rFonts w:ascii="Bookman Old Style" w:eastAsia="Calibri" w:hAnsi="Bookman Old Style" w:cs="Calibri"/>
              </w:rPr>
              <w:t>ley,</w:t>
            </w:r>
            <w:r w:rsidRPr="00780580">
              <w:rPr>
                <w:rFonts w:ascii="Bookman Old Style" w:eastAsia="Calibri" w:hAnsi="Bookman Old Style" w:cs="Calibri"/>
              </w:rPr>
              <w:t xml:space="preserve"> pero están obligados a instalar cámaras que registren la identidad de vendedor y comprador.</w:t>
            </w:r>
          </w:p>
        </w:tc>
        <w:tc>
          <w:tcPr>
            <w:tcW w:w="2787" w:type="dxa"/>
            <w:vAlign w:val="center"/>
          </w:tcPr>
          <w:p w14:paraId="3221D3D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56C96B7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80580" w:rsidRPr="00780580" w14:paraId="536A7B85" w14:textId="77777777" w:rsidTr="00BC095F">
        <w:trPr>
          <w:trHeight w:val="20"/>
        </w:trPr>
        <w:tc>
          <w:tcPr>
            <w:tcW w:w="9876" w:type="dxa"/>
            <w:gridSpan w:val="3"/>
            <w:shd w:val="clear" w:color="auto" w:fill="D9D9D9" w:themeFill="background1" w:themeFillShade="D9"/>
            <w:vAlign w:val="center"/>
          </w:tcPr>
          <w:p w14:paraId="61FA1E55"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Publicidad</w:t>
            </w:r>
          </w:p>
        </w:tc>
      </w:tr>
      <w:tr w:rsidR="00780580" w:rsidRPr="00780580" w14:paraId="5B64B303" w14:textId="77777777" w:rsidTr="00BC095F">
        <w:trPr>
          <w:trHeight w:val="20"/>
        </w:trPr>
        <w:tc>
          <w:tcPr>
            <w:tcW w:w="2978" w:type="dxa"/>
            <w:vAlign w:val="center"/>
          </w:tcPr>
          <w:p w14:paraId="37117296"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c>
          <w:tcPr>
            <w:tcW w:w="4111" w:type="dxa"/>
            <w:vAlign w:val="center"/>
          </w:tcPr>
          <w:p w14:paraId="3365B318" w14:textId="77777777" w:rsidR="00780580" w:rsidRPr="00780580" w:rsidRDefault="00780580" w:rsidP="00BC095F">
            <w:pPr>
              <w:jc w:val="center"/>
              <w:rPr>
                <w:rFonts w:ascii="Bookman Old Style" w:hAnsi="Bookman Old Style"/>
              </w:rPr>
            </w:pPr>
            <w:r w:rsidRPr="00780580">
              <w:rPr>
                <w:rFonts w:ascii="Bookman Old Style" w:hAnsi="Bookman Old Style"/>
              </w:rPr>
              <w:t>Regulada</w:t>
            </w:r>
          </w:p>
        </w:tc>
        <w:tc>
          <w:tcPr>
            <w:tcW w:w="2787" w:type="dxa"/>
            <w:vAlign w:val="center"/>
          </w:tcPr>
          <w:p w14:paraId="5F9467F3"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r>
      <w:tr w:rsidR="00780580" w:rsidRPr="00780580" w14:paraId="10DAB3BF" w14:textId="77777777" w:rsidTr="00BC095F">
        <w:trPr>
          <w:trHeight w:val="20"/>
        </w:trPr>
        <w:tc>
          <w:tcPr>
            <w:tcW w:w="9876" w:type="dxa"/>
            <w:gridSpan w:val="3"/>
            <w:shd w:val="clear" w:color="auto" w:fill="D9D9D9" w:themeFill="background1" w:themeFillShade="D9"/>
            <w:vAlign w:val="center"/>
          </w:tcPr>
          <w:p w14:paraId="41345CD8" w14:textId="77777777" w:rsidR="00780580" w:rsidRPr="00780580" w:rsidRDefault="00780580" w:rsidP="00BC095F">
            <w:pPr>
              <w:jc w:val="center"/>
              <w:rPr>
                <w:rFonts w:ascii="Bookman Old Style" w:hAnsi="Bookman Old Style"/>
                <w:b/>
                <w:i/>
              </w:rPr>
            </w:pPr>
            <w:r w:rsidRPr="00780580">
              <w:rPr>
                <w:rFonts w:ascii="Bookman Old Style" w:hAnsi="Bookman Old Style"/>
                <w:b/>
                <w:i/>
              </w:rPr>
              <w:t>Fiscalidad</w:t>
            </w:r>
          </w:p>
        </w:tc>
      </w:tr>
      <w:tr w:rsidR="00780580" w:rsidRPr="00780580" w14:paraId="46C8E17A" w14:textId="77777777" w:rsidTr="00BC095F">
        <w:trPr>
          <w:trHeight w:val="20"/>
        </w:trPr>
        <w:tc>
          <w:tcPr>
            <w:tcW w:w="2978" w:type="dxa"/>
            <w:vAlign w:val="center"/>
          </w:tcPr>
          <w:p w14:paraId="312E61BB"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5B681760"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4355B2E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9BD8A3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14:paraId="076BECD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14:paraId="526AE3C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69B12F0B" w14:textId="77777777" w:rsidR="00780580" w:rsidRPr="00780580" w:rsidRDefault="00780580" w:rsidP="00BC095F">
            <w:pPr>
              <w:rPr>
                <w:rFonts w:ascii="Bookman Old Style" w:hAnsi="Bookman Old Style"/>
              </w:rPr>
            </w:pPr>
            <w:r w:rsidRPr="00780580">
              <w:rPr>
                <w:rFonts w:ascii="Bookman Old Style" w:hAnsi="Bookman Old Style"/>
              </w:rPr>
              <w:t>Existen dos tipos de impuestos:</w:t>
            </w:r>
          </w:p>
          <w:p w14:paraId="4D66AC76" w14:textId="77777777" w:rsidR="00780580" w:rsidRPr="00780580" w:rsidRDefault="00780580" w:rsidP="00BC095F">
            <w:pPr>
              <w:jc w:val="center"/>
              <w:rPr>
                <w:rFonts w:ascii="Bookman Old Style" w:hAnsi="Bookman Old Style"/>
              </w:rPr>
            </w:pPr>
          </w:p>
          <w:p w14:paraId="76F3012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63814B81" w14:textId="77777777" w:rsidR="00780580" w:rsidRPr="00780580" w:rsidRDefault="00780580" w:rsidP="00BC095F">
            <w:pPr>
              <w:jc w:val="center"/>
              <w:rPr>
                <w:rFonts w:ascii="Bookman Old Style" w:hAnsi="Bookman Old Style"/>
              </w:rPr>
            </w:pPr>
          </w:p>
          <w:p w14:paraId="723A6F3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80580" w:rsidRPr="00780580" w14:paraId="545E03E9" w14:textId="77777777" w:rsidTr="00BC095F">
        <w:trPr>
          <w:trHeight w:val="20"/>
        </w:trPr>
        <w:tc>
          <w:tcPr>
            <w:tcW w:w="9876" w:type="dxa"/>
            <w:gridSpan w:val="3"/>
            <w:shd w:val="clear" w:color="auto" w:fill="D9D9D9" w:themeFill="background1" w:themeFillShade="D9"/>
            <w:vAlign w:val="center"/>
          </w:tcPr>
          <w:p w14:paraId="237ED92B" w14:textId="77777777" w:rsidR="00780580" w:rsidRPr="00780580" w:rsidRDefault="00780580" w:rsidP="00BC095F">
            <w:pPr>
              <w:jc w:val="center"/>
              <w:rPr>
                <w:rFonts w:ascii="Bookman Old Style" w:hAnsi="Bookman Old Style"/>
                <w:b/>
                <w:i/>
              </w:rPr>
            </w:pPr>
            <w:r w:rsidRPr="00780580">
              <w:rPr>
                <w:rFonts w:ascii="Bookman Old Style" w:hAnsi="Bookman Old Style"/>
                <w:b/>
                <w:i/>
              </w:rPr>
              <w:t>Destinación de recursos recaudados</w:t>
            </w:r>
          </w:p>
        </w:tc>
      </w:tr>
      <w:tr w:rsidR="00780580" w:rsidRPr="00780580" w14:paraId="5E5BF6C3" w14:textId="77777777" w:rsidTr="00BC095F">
        <w:trPr>
          <w:trHeight w:val="20"/>
        </w:trPr>
        <w:tc>
          <w:tcPr>
            <w:tcW w:w="2978" w:type="dxa"/>
            <w:vAlign w:val="center"/>
          </w:tcPr>
          <w:p w14:paraId="35C8F1D0"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14:paraId="78F18F2D"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660EB0A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14:paraId="5C9BC185" w14:textId="77777777" w:rsidR="00780580" w:rsidRPr="00780580" w:rsidRDefault="00780580" w:rsidP="00BC095F">
            <w:pPr>
              <w:jc w:val="both"/>
              <w:rPr>
                <w:rFonts w:ascii="Bookman Old Style" w:hAnsi="Bookman Old Style"/>
              </w:rPr>
            </w:pPr>
            <w:r w:rsidRPr="00780580">
              <w:rPr>
                <w:rFonts w:ascii="Bookman Old Style" w:hAnsi="Bookman Old Style"/>
              </w:rPr>
              <w:t>No se ha establecido destinación específica.</w:t>
            </w:r>
          </w:p>
        </w:tc>
      </w:tr>
      <w:tr w:rsidR="00780580" w:rsidRPr="00780580" w14:paraId="3FA53596" w14:textId="77777777" w:rsidTr="00BC095F">
        <w:trPr>
          <w:trHeight w:val="20"/>
        </w:trPr>
        <w:tc>
          <w:tcPr>
            <w:tcW w:w="9876" w:type="dxa"/>
            <w:gridSpan w:val="3"/>
            <w:shd w:val="clear" w:color="auto" w:fill="D9D9D9" w:themeFill="background1" w:themeFillShade="D9"/>
            <w:vAlign w:val="center"/>
          </w:tcPr>
          <w:p w14:paraId="091682D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Prevención</w:t>
            </w:r>
          </w:p>
        </w:tc>
      </w:tr>
      <w:tr w:rsidR="00780580" w:rsidRPr="00780580" w14:paraId="76D14D72" w14:textId="77777777" w:rsidTr="00BC095F">
        <w:trPr>
          <w:trHeight w:val="20"/>
        </w:trPr>
        <w:tc>
          <w:tcPr>
            <w:tcW w:w="2978" w:type="dxa"/>
            <w:vAlign w:val="center"/>
          </w:tcPr>
          <w:p w14:paraId="40059508"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31333012"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3C7E60D" w14:textId="77777777" w:rsidR="00780580" w:rsidRPr="00780580" w:rsidRDefault="00780580" w:rsidP="00BC095F">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6950E9E" w14:textId="118382A0" w:rsidR="00780580" w:rsidRPr="006127F0" w:rsidRDefault="00780580" w:rsidP="00780580">
      <w:pPr>
        <w:ind w:left="-426"/>
        <w:rPr>
          <w:rFonts w:ascii="Bookman Old Style" w:eastAsia="Calibri" w:hAnsi="Bookman Old Style" w:cs="Calibri"/>
          <w:i/>
          <w:iCs/>
          <w:sz w:val="20"/>
          <w:szCs w:val="20"/>
        </w:rPr>
      </w:pPr>
    </w:p>
    <w:p w14:paraId="0AC24B7E" w14:textId="77777777" w:rsidR="00AF62CD" w:rsidRPr="00780580" w:rsidRDefault="00AF62CD" w:rsidP="00780580">
      <w:pPr>
        <w:ind w:left="-426"/>
        <w:rPr>
          <w:rFonts w:ascii="Bookman Old Style" w:eastAsia="Calibri" w:hAnsi="Bookman Old Style" w:cs="Calibri"/>
        </w:rPr>
      </w:pPr>
    </w:p>
    <w:p w14:paraId="2F5E9526"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2. </w:t>
      </w:r>
    </w:p>
    <w:p w14:paraId="5A8C8CCC"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80580" w:rsidRPr="00780580" w14:paraId="101B5CA6" w14:textId="77777777" w:rsidTr="00BC095F">
        <w:trPr>
          <w:trHeight w:val="305"/>
        </w:trPr>
        <w:tc>
          <w:tcPr>
            <w:tcW w:w="5104" w:type="dxa"/>
            <w:shd w:val="clear" w:color="auto" w:fill="BFBFBF" w:themeFill="background1" w:themeFillShade="BF"/>
          </w:tcPr>
          <w:p w14:paraId="5D025E93"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3EF31FE5"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COLORADO - EEUU</w:t>
            </w:r>
          </w:p>
        </w:tc>
      </w:tr>
      <w:tr w:rsidR="00780580" w:rsidRPr="00780580" w14:paraId="281BF2B7" w14:textId="77777777" w:rsidTr="00BC095F">
        <w:trPr>
          <w:trHeight w:val="288"/>
        </w:trPr>
        <w:tc>
          <w:tcPr>
            <w:tcW w:w="5104" w:type="dxa"/>
          </w:tcPr>
          <w:p w14:paraId="04BE189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0BC1E28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80580" w:rsidRPr="00780580" w14:paraId="07412332" w14:textId="77777777" w:rsidTr="00BC095F">
        <w:trPr>
          <w:trHeight w:val="305"/>
        </w:trPr>
        <w:tc>
          <w:tcPr>
            <w:tcW w:w="5104" w:type="dxa"/>
          </w:tcPr>
          <w:p w14:paraId="533B2D9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2052101E"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80580" w:rsidRPr="00780580" w14:paraId="5DFE8049" w14:textId="77777777" w:rsidTr="00BC095F">
        <w:trPr>
          <w:trHeight w:val="288"/>
        </w:trPr>
        <w:tc>
          <w:tcPr>
            <w:tcW w:w="5104" w:type="dxa"/>
          </w:tcPr>
          <w:p w14:paraId="68EFF5E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58B9765C"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80580" w:rsidRPr="00780580" w14:paraId="047B0747" w14:textId="77777777" w:rsidTr="00BC095F">
        <w:trPr>
          <w:trHeight w:val="305"/>
        </w:trPr>
        <w:tc>
          <w:tcPr>
            <w:tcW w:w="5104" w:type="dxa"/>
          </w:tcPr>
          <w:p w14:paraId="078C5AB2"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2E8020E7"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80580" w:rsidRPr="00780580" w14:paraId="6E7555DA" w14:textId="77777777" w:rsidTr="00BC095F">
        <w:trPr>
          <w:trHeight w:val="288"/>
        </w:trPr>
        <w:tc>
          <w:tcPr>
            <w:tcW w:w="5104" w:type="dxa"/>
          </w:tcPr>
          <w:p w14:paraId="7ED2DB99"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7A3F6E3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07073608" w14:textId="77777777" w:rsidR="00780580" w:rsidRPr="00780580" w:rsidRDefault="00780580" w:rsidP="00780580">
      <w:pPr>
        <w:ind w:left="-426"/>
        <w:rPr>
          <w:rFonts w:ascii="Bookman Old Style" w:eastAsia="Calibri" w:hAnsi="Bookman Old Style" w:cs="Calibri"/>
        </w:rPr>
      </w:pPr>
    </w:p>
    <w:p w14:paraId="00AFE27B" w14:textId="1DA4B074" w:rsidR="00AF62CD" w:rsidRDefault="00780580" w:rsidP="00780580">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sidR="009A3BA5">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sidR="009A3BA5">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521218B9" w14:textId="77777777" w:rsidR="003B34DE" w:rsidRDefault="003B34DE" w:rsidP="00780580">
      <w:pPr>
        <w:jc w:val="both"/>
        <w:rPr>
          <w:rFonts w:ascii="Bookman Old Style" w:eastAsia="Calibri" w:hAnsi="Bookman Old Style"/>
        </w:rPr>
      </w:pPr>
    </w:p>
    <w:p w14:paraId="148677E9" w14:textId="77777777" w:rsidR="00AF62CD" w:rsidRPr="00780580" w:rsidRDefault="00AF62CD" w:rsidP="00780580">
      <w:pPr>
        <w:jc w:val="both"/>
        <w:rPr>
          <w:rFonts w:ascii="Bookman Old Style" w:eastAsia="Calibri" w:hAnsi="Bookman Old Style"/>
        </w:rPr>
      </w:pPr>
    </w:p>
    <w:p w14:paraId="3E705463"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noProof/>
        </w:rPr>
        <w:drawing>
          <wp:anchor distT="0" distB="0" distL="114300" distR="114300" simplePos="0" relativeHeight="251659264" behindDoc="0" locked="0" layoutInCell="1" allowOverlap="1" wp14:anchorId="75E497FA" wp14:editId="5DA736D2">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662403D" w14:textId="77777777" w:rsidR="00780580" w:rsidRPr="006127F0" w:rsidRDefault="00780580" w:rsidP="00780580">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14:paraId="3247620A" w14:textId="77777777" w:rsidR="00780580" w:rsidRPr="00780580" w:rsidRDefault="00780580" w:rsidP="00780580">
      <w:pPr>
        <w:jc w:val="both"/>
        <w:rPr>
          <w:rFonts w:ascii="Bookman Old Style" w:eastAsia="Calibri" w:hAnsi="Bookman Old Style"/>
        </w:rPr>
      </w:pPr>
    </w:p>
    <w:p w14:paraId="7788F977"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14:paraId="5CD73048" w14:textId="77777777" w:rsidR="00780580" w:rsidRPr="00780580" w:rsidRDefault="00780580" w:rsidP="00780580">
      <w:pPr>
        <w:jc w:val="both"/>
        <w:rPr>
          <w:rFonts w:ascii="Bookman Old Style" w:eastAsia="Calibri" w:hAnsi="Bookman Old Style"/>
        </w:rPr>
      </w:pPr>
    </w:p>
    <w:p w14:paraId="22FAE6E4" w14:textId="1B4B4F18" w:rsidR="00AF62CD" w:rsidRPr="00780580" w:rsidRDefault="00780580" w:rsidP="00780580">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sidR="009A3BA5">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sidR="009A3BA5">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0AAA54EE" w14:textId="77777777" w:rsidR="00780580" w:rsidRPr="00780580" w:rsidRDefault="00780580" w:rsidP="00780580">
      <w:pPr>
        <w:jc w:val="both"/>
        <w:rPr>
          <w:rFonts w:ascii="Bookman Old Style" w:eastAsia="Calibri" w:hAnsi="Bookman Old Style"/>
        </w:rPr>
      </w:pPr>
    </w:p>
    <w:p w14:paraId="4388E4C9"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75BDC0F1" w14:textId="77777777" w:rsidR="00780580" w:rsidRPr="00780580" w:rsidRDefault="00780580" w:rsidP="00780580">
      <w:pPr>
        <w:jc w:val="center"/>
        <w:rPr>
          <w:rFonts w:ascii="Bookman Old Style" w:eastAsia="Calibri" w:hAnsi="Bookman Old Style"/>
          <w:noProof/>
        </w:rPr>
      </w:pPr>
    </w:p>
    <w:p w14:paraId="0B9FDA29" w14:textId="77777777" w:rsidR="00780580" w:rsidRPr="00780580" w:rsidRDefault="00780580" w:rsidP="00780580">
      <w:pPr>
        <w:jc w:val="center"/>
        <w:rPr>
          <w:rFonts w:ascii="Bookman Old Style" w:eastAsia="Calibri" w:hAnsi="Bookman Old Style"/>
        </w:rPr>
      </w:pPr>
      <w:r w:rsidRPr="00780580">
        <w:rPr>
          <w:rFonts w:ascii="Bookman Old Style" w:eastAsia="Calibri" w:hAnsi="Bookman Old Style"/>
          <w:noProof/>
        </w:rPr>
        <w:drawing>
          <wp:inline distT="0" distB="0" distL="0" distR="0" wp14:anchorId="72EF10CB" wp14:editId="58643B46">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12"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E810D12" w14:textId="77777777" w:rsidR="00780580" w:rsidRPr="00780580" w:rsidRDefault="00780580" w:rsidP="00780580">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3"/>
      </w:r>
    </w:p>
    <w:p w14:paraId="07DF2B88" w14:textId="77777777" w:rsidR="00780580" w:rsidRPr="00780580" w:rsidRDefault="00780580" w:rsidP="00780580">
      <w:pPr>
        <w:jc w:val="center"/>
        <w:rPr>
          <w:rFonts w:ascii="Bookman Old Style" w:eastAsia="Calibri" w:hAnsi="Bookman Old Style"/>
          <w:i/>
          <w:iCs/>
        </w:rPr>
      </w:pPr>
    </w:p>
    <w:p w14:paraId="1795B888" w14:textId="3B9BD84D" w:rsidR="00780580" w:rsidRPr="00780580" w:rsidRDefault="00780580" w:rsidP="009A3BA5">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sidR="009A3BA5">
        <w:rPr>
          <w:rFonts w:ascii="Bookman Old Style" w:eastAsia="Calibri" w:hAnsi="Bookman Old Style"/>
        </w:rPr>
        <w:t>de uso adulto</w:t>
      </w:r>
      <w:r w:rsidRPr="00780580">
        <w:rPr>
          <w:rFonts w:ascii="Bookman Old Style" w:eastAsia="Calibri" w:hAnsi="Bookman Old Style"/>
        </w:rPr>
        <w:t>.</w:t>
      </w:r>
    </w:p>
    <w:p w14:paraId="65D4EEC1" w14:textId="77777777" w:rsidR="00780580" w:rsidRPr="00780580" w:rsidRDefault="00780580" w:rsidP="00780580">
      <w:pPr>
        <w:jc w:val="both"/>
        <w:rPr>
          <w:rFonts w:ascii="Bookman Old Style" w:eastAsia="Calibri" w:hAnsi="Bookman Old Style"/>
        </w:rPr>
      </w:pPr>
    </w:p>
    <w:p w14:paraId="6863BB95" w14:textId="312D9062" w:rsidR="00780580" w:rsidRPr="00780580" w:rsidRDefault="00780580" w:rsidP="00780580">
      <w:pPr>
        <w:jc w:val="both"/>
        <w:rPr>
          <w:rFonts w:ascii="Bookman Old Style" w:eastAsia="Calibri" w:hAnsi="Bookman Old Style" w:cs="Calibri"/>
          <w:b/>
          <w:bCs/>
        </w:rPr>
      </w:pPr>
      <w:r>
        <w:rPr>
          <w:rFonts w:ascii="Bookman Old Style" w:eastAsia="Calibri" w:hAnsi="Bookman Old Style" w:cs="Calibri"/>
          <w:b/>
          <w:bCs/>
        </w:rPr>
        <w:t>4</w:t>
      </w:r>
      <w:r w:rsidRPr="00780580">
        <w:rPr>
          <w:rFonts w:ascii="Bookman Old Style" w:eastAsia="Calibri" w:hAnsi="Bookman Old Style" w:cs="Calibri"/>
          <w:b/>
          <w:bCs/>
        </w:rPr>
        <w:t>.2.1 IMPACTO ECONÓMICO DE LA REGULACIÓN EN EL CASO INTERNACIONAL</w:t>
      </w:r>
      <w:r w:rsidR="008D6C03">
        <w:rPr>
          <w:rFonts w:ascii="Bookman Old Style" w:eastAsia="Calibri" w:hAnsi="Bookman Old Style" w:cs="Calibri"/>
          <w:b/>
          <w:bCs/>
        </w:rPr>
        <w:t>.</w:t>
      </w:r>
    </w:p>
    <w:p w14:paraId="55204115" w14:textId="77777777" w:rsidR="00780580" w:rsidRPr="00780580" w:rsidRDefault="00780580" w:rsidP="00780580">
      <w:pPr>
        <w:rPr>
          <w:rFonts w:ascii="Bookman Old Style" w:hAnsi="Bookman Old Style"/>
        </w:rPr>
      </w:pPr>
    </w:p>
    <w:p w14:paraId="516DA96E" w14:textId="765E7607" w:rsidR="00780580" w:rsidRPr="00780580" w:rsidRDefault="00780580" w:rsidP="00780580">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sidR="00770D70">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sidR="00A20BDA">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14:paraId="7709C2E4"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 </w:t>
      </w:r>
    </w:p>
    <w:p w14:paraId="4C868E2D" w14:textId="310E379D" w:rsidR="00780580" w:rsidRPr="00780580" w:rsidRDefault="00780580" w:rsidP="00780580">
      <w:pPr>
        <w:pStyle w:val="Sinespaciado"/>
        <w:jc w:val="both"/>
        <w:rPr>
          <w:rFonts w:ascii="Bookman Old Style" w:hAnsi="Bookman Old Style"/>
          <w:b/>
        </w:rPr>
      </w:pPr>
      <w:bookmarkStart w:id="1" w:name="_Toc5023208"/>
      <w:r w:rsidRPr="00780580">
        <w:rPr>
          <w:rFonts w:ascii="Bookman Old Style" w:hAnsi="Bookman Old Style"/>
        </w:rPr>
        <w:t xml:space="preserve">Así como el alcohol y el tabaco están regulados y </w:t>
      </w:r>
      <w:r w:rsidR="00A20BDA">
        <w:rPr>
          <w:rFonts w:ascii="Bookman Old Style" w:hAnsi="Bookman Old Style"/>
        </w:rPr>
        <w:t>están gravados con</w:t>
      </w:r>
      <w:r w:rsidR="00A20BDA" w:rsidRPr="00780580">
        <w:rPr>
          <w:rFonts w:ascii="Bookman Old Style" w:hAnsi="Bookman Old Style"/>
        </w:rPr>
        <w:t xml:space="preserve"> </w:t>
      </w:r>
      <w:r w:rsidRPr="00780580">
        <w:rPr>
          <w:rFonts w:ascii="Bookman Old Style" w:hAnsi="Bookman Old Style"/>
        </w:rPr>
        <w:t>impuesto</w:t>
      </w:r>
      <w:r w:rsidR="00A20BDA">
        <w:rPr>
          <w:rFonts w:ascii="Bookman Old Style" w:hAnsi="Bookman Old Style"/>
        </w:rPr>
        <w:t>s</w:t>
      </w:r>
      <w:r w:rsidRPr="00780580">
        <w:rPr>
          <w:rFonts w:ascii="Bookman Old Style" w:hAnsi="Bookman Old Style"/>
        </w:rPr>
        <w:t xml:space="preserve">, los impuestos al consumo del cannabis pueden ser una fuente de financiación para </w:t>
      </w:r>
      <w:r w:rsidR="00A20BDA">
        <w:rPr>
          <w:rFonts w:ascii="Bookman Old Style" w:hAnsi="Bookman Old Style"/>
        </w:rPr>
        <w:t>p</w:t>
      </w:r>
      <w:r w:rsidRPr="00780580">
        <w:rPr>
          <w:rFonts w:ascii="Bookman Old Style" w:hAnsi="Bookman Old Style"/>
        </w:rPr>
        <w:t xml:space="preserve">rogramas </w:t>
      </w:r>
      <w:r w:rsidR="00A20BDA">
        <w:rPr>
          <w:rFonts w:ascii="Bookman Old Style" w:hAnsi="Bookman Old Style"/>
        </w:rPr>
        <w:t>s</w:t>
      </w:r>
      <w:r w:rsidRPr="00780580">
        <w:rPr>
          <w:rFonts w:ascii="Bookman Old Style" w:hAnsi="Bookman Old Style"/>
        </w:rPr>
        <w:t xml:space="preserve">ociales, de </w:t>
      </w:r>
      <w:r w:rsidR="00A20BDA">
        <w:rPr>
          <w:rFonts w:ascii="Bookman Old Style" w:hAnsi="Bookman Old Style"/>
        </w:rPr>
        <w:t>s</w:t>
      </w:r>
      <w:r w:rsidR="00A20BDA" w:rsidRPr="00780580">
        <w:rPr>
          <w:rFonts w:ascii="Bookman Old Style" w:hAnsi="Bookman Old Style"/>
        </w:rPr>
        <w:t xml:space="preserve">alud </w:t>
      </w:r>
      <w:r w:rsidRPr="00780580">
        <w:rPr>
          <w:rFonts w:ascii="Bookman Old Style" w:hAnsi="Bookman Old Style"/>
        </w:rPr>
        <w:t xml:space="preserve">y de </w:t>
      </w:r>
      <w:r w:rsidR="00A20BDA">
        <w:rPr>
          <w:rFonts w:ascii="Bookman Old Style" w:hAnsi="Bookman Old Style"/>
        </w:rPr>
        <w:t>p</w:t>
      </w:r>
      <w:r w:rsidRPr="00780580">
        <w:rPr>
          <w:rFonts w:ascii="Bookman Old Style" w:hAnsi="Bookman Old Style"/>
        </w:rPr>
        <w:t xml:space="preserve">revención de </w:t>
      </w:r>
      <w:r w:rsidR="00A20BDA">
        <w:rPr>
          <w:rFonts w:ascii="Bookman Old Style" w:hAnsi="Bookman Old Style"/>
        </w:rPr>
        <w:t>a</w:t>
      </w:r>
      <w:r w:rsidRPr="00780580">
        <w:rPr>
          <w:rFonts w:ascii="Bookman Old Style" w:hAnsi="Bookman Old Style"/>
        </w:rPr>
        <w:t xml:space="preserve">buso de </w:t>
      </w:r>
      <w:r w:rsidR="00A20BDA">
        <w:rPr>
          <w:rFonts w:ascii="Bookman Old Style" w:hAnsi="Bookman Old Style"/>
        </w:rPr>
        <w:t>s</w:t>
      </w:r>
      <w:r w:rsidRPr="00780580">
        <w:rPr>
          <w:rFonts w:ascii="Bookman Old Style" w:hAnsi="Bookman Old Style"/>
        </w:rPr>
        <w:t>ustancias</w:t>
      </w:r>
      <w:bookmarkEnd w:id="1"/>
      <w:r w:rsidRPr="00780580">
        <w:rPr>
          <w:rFonts w:ascii="Bookman Old Style" w:hAnsi="Bookman Old Style"/>
        </w:rPr>
        <w:t>.</w:t>
      </w:r>
    </w:p>
    <w:p w14:paraId="61093D2C" w14:textId="77777777" w:rsidR="00780580" w:rsidRPr="00780580" w:rsidRDefault="00780580" w:rsidP="00780580">
      <w:pPr>
        <w:jc w:val="both"/>
        <w:rPr>
          <w:rFonts w:ascii="Bookman Old Style" w:hAnsi="Bookman Old Style" w:cs="Calibri"/>
        </w:rPr>
      </w:pPr>
    </w:p>
    <w:p w14:paraId="3A7C9F3F"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59F5FAB1"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14:paraId="4C9F4B17" w14:textId="77777777" w:rsidR="00780580" w:rsidRPr="00780580" w:rsidRDefault="00780580" w:rsidP="00780580">
      <w:pPr>
        <w:jc w:val="both"/>
        <w:rPr>
          <w:rFonts w:ascii="Bookman Old Style" w:hAnsi="Bookman Old Style" w:cs="Calibri"/>
        </w:rPr>
      </w:pPr>
    </w:p>
    <w:p w14:paraId="161095B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14:paraId="154B3CBC" w14:textId="77777777" w:rsidR="00780580" w:rsidRPr="00780580" w:rsidRDefault="00780580" w:rsidP="00780580">
      <w:pPr>
        <w:jc w:val="both"/>
        <w:rPr>
          <w:rFonts w:ascii="Bookman Old Style" w:hAnsi="Bookman Old Style"/>
        </w:rPr>
      </w:pPr>
    </w:p>
    <w:p w14:paraId="0265A9D4"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1130DFF8" w14:textId="77777777" w:rsidR="00780580" w:rsidRPr="00780580" w:rsidRDefault="00780580" w:rsidP="00780580">
      <w:pPr>
        <w:pStyle w:val="Prrafodelista"/>
        <w:spacing w:after="0" w:line="240" w:lineRule="auto"/>
        <w:jc w:val="both"/>
        <w:rPr>
          <w:rFonts w:ascii="Bookman Old Style" w:hAnsi="Bookman Old Style" w:cs="Calibri"/>
        </w:rPr>
      </w:pPr>
    </w:p>
    <w:p w14:paraId="1B0CD82F"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56CE3833" w14:textId="77777777" w:rsidR="00780580" w:rsidRPr="00780580" w:rsidRDefault="00780580" w:rsidP="00780580">
      <w:pPr>
        <w:jc w:val="both"/>
        <w:rPr>
          <w:rFonts w:ascii="Bookman Old Style" w:hAnsi="Bookman Old Style" w:cs="Calibri"/>
        </w:rPr>
      </w:pPr>
    </w:p>
    <w:p w14:paraId="404ECE0D"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2A43942D" w14:textId="77777777" w:rsidR="00780580" w:rsidRPr="00780580" w:rsidRDefault="00780580" w:rsidP="00780580">
      <w:pPr>
        <w:jc w:val="both"/>
        <w:rPr>
          <w:rFonts w:ascii="Bookman Old Style" w:hAnsi="Bookman Old Style" w:cs="Calibri"/>
        </w:rPr>
      </w:pPr>
    </w:p>
    <w:p w14:paraId="7D9858D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14:paraId="589414EE" w14:textId="77777777" w:rsidR="00780580" w:rsidRPr="00780580" w:rsidRDefault="00780580" w:rsidP="00780580">
      <w:pPr>
        <w:jc w:val="both"/>
        <w:rPr>
          <w:rFonts w:ascii="Bookman Old Style" w:hAnsi="Bookman Old Style" w:cs="Calibri"/>
        </w:rPr>
      </w:pPr>
    </w:p>
    <w:p w14:paraId="43F3C18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14:paraId="79554F48" w14:textId="77777777" w:rsidR="00780580" w:rsidRPr="00780580" w:rsidRDefault="00780580" w:rsidP="00780580">
      <w:pPr>
        <w:jc w:val="both"/>
        <w:rPr>
          <w:rFonts w:ascii="Bookman Old Style" w:hAnsi="Bookman Old Style" w:cs="Calibri"/>
        </w:rPr>
      </w:pPr>
    </w:p>
    <w:p w14:paraId="58CF702C"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290F1AEF" w14:textId="77777777" w:rsidR="00780580" w:rsidRPr="00780580" w:rsidRDefault="00780580" w:rsidP="00780580">
      <w:pPr>
        <w:pStyle w:val="Prrafodelista"/>
        <w:spacing w:after="0" w:line="240" w:lineRule="auto"/>
        <w:jc w:val="both"/>
        <w:rPr>
          <w:rFonts w:ascii="Bookman Old Style" w:hAnsi="Bookman Old Style" w:cs="Calibri"/>
        </w:rPr>
      </w:pPr>
    </w:p>
    <w:p w14:paraId="4388F939"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78CDD499" w14:textId="77777777" w:rsidR="00780580" w:rsidRPr="00780580" w:rsidRDefault="00780580" w:rsidP="00780580">
      <w:pPr>
        <w:jc w:val="both"/>
        <w:rPr>
          <w:rFonts w:ascii="Bookman Old Style" w:hAnsi="Bookman Old Style" w:cs="Calibri"/>
        </w:rPr>
      </w:pPr>
    </w:p>
    <w:p w14:paraId="0B61EA12"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465D6B03" w14:textId="77777777" w:rsidR="00780580" w:rsidRPr="00780580" w:rsidRDefault="00780580" w:rsidP="00780580">
      <w:pPr>
        <w:jc w:val="both"/>
        <w:rPr>
          <w:rFonts w:ascii="Bookman Old Style" w:hAnsi="Bookman Old Style" w:cs="Calibri"/>
        </w:rPr>
      </w:pPr>
    </w:p>
    <w:p w14:paraId="08DF2DF5"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74F2B7A3" w14:textId="77777777" w:rsidR="00780580" w:rsidRPr="00780580" w:rsidRDefault="00780580" w:rsidP="00780580">
      <w:pPr>
        <w:jc w:val="both"/>
        <w:rPr>
          <w:rFonts w:ascii="Bookman Old Style" w:hAnsi="Bookman Old Style" w:cs="Calibri"/>
        </w:rPr>
      </w:pPr>
    </w:p>
    <w:p w14:paraId="1E7BEBCB"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13117CBA" w14:textId="77777777" w:rsidR="00780580" w:rsidRPr="00780580" w:rsidRDefault="00780580" w:rsidP="00780580">
      <w:pPr>
        <w:jc w:val="both"/>
        <w:rPr>
          <w:rFonts w:ascii="Bookman Old Style" w:hAnsi="Bookman Old Style" w:cs="Calibri"/>
        </w:rPr>
      </w:pPr>
    </w:p>
    <w:p w14:paraId="20EAA4F8"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4C776D0" w14:textId="77777777" w:rsidR="00780580" w:rsidRPr="00780580" w:rsidRDefault="00780580" w:rsidP="00780580">
      <w:pPr>
        <w:jc w:val="both"/>
        <w:rPr>
          <w:rFonts w:ascii="Bookman Old Style" w:hAnsi="Bookman Old Style" w:cs="Calibri"/>
        </w:rPr>
      </w:pPr>
    </w:p>
    <w:p w14:paraId="5325F6A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727476DA" w14:textId="77777777" w:rsidR="00780580" w:rsidRPr="00780580" w:rsidRDefault="00780580" w:rsidP="00780580">
      <w:pPr>
        <w:jc w:val="both"/>
        <w:rPr>
          <w:rFonts w:ascii="Bookman Old Style" w:hAnsi="Bookman Old Style" w:cs="Calibri"/>
        </w:rPr>
      </w:pPr>
    </w:p>
    <w:p w14:paraId="790071A4"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20"/>
      </w:r>
    </w:p>
    <w:p w14:paraId="2114A8E0" w14:textId="77777777" w:rsidR="00780580" w:rsidRPr="00780580" w:rsidRDefault="00780580" w:rsidP="00780580">
      <w:pPr>
        <w:ind w:left="360"/>
        <w:jc w:val="both"/>
        <w:rPr>
          <w:rFonts w:ascii="Bookman Old Style" w:hAnsi="Bookman Old Style" w:cs="Calibri"/>
        </w:rPr>
      </w:pPr>
    </w:p>
    <w:p w14:paraId="309F5C70"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14:paraId="6CA9FDF7" w14:textId="77777777" w:rsidR="00780580" w:rsidRPr="00780580" w:rsidRDefault="00780580" w:rsidP="00780580">
      <w:pPr>
        <w:jc w:val="both"/>
        <w:rPr>
          <w:rFonts w:ascii="Bookman Old Style" w:hAnsi="Bookman Old Style" w:cs="Calibri"/>
        </w:rPr>
      </w:pPr>
    </w:p>
    <w:p w14:paraId="5080D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14:paraId="7B03361B" w14:textId="77777777" w:rsidR="00780580" w:rsidRPr="00780580" w:rsidRDefault="00780580" w:rsidP="00780580">
      <w:pPr>
        <w:jc w:val="both"/>
        <w:rPr>
          <w:rFonts w:ascii="Bookman Old Style" w:hAnsi="Bookman Old Style" w:cs="Calibri"/>
          <w:b/>
        </w:rPr>
      </w:pPr>
    </w:p>
    <w:p w14:paraId="453F9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14:paraId="34CEF942" w14:textId="77777777" w:rsidR="00780580" w:rsidRPr="00780580" w:rsidRDefault="00780580" w:rsidP="00780580">
      <w:pPr>
        <w:jc w:val="both"/>
        <w:rPr>
          <w:rFonts w:ascii="Bookman Old Style" w:hAnsi="Bookman Old Style" w:cs="Calibri"/>
        </w:rPr>
      </w:pPr>
    </w:p>
    <w:p w14:paraId="033D19DE"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14:paraId="5A1618A9" w14:textId="77777777" w:rsidR="00780580" w:rsidRPr="00780580" w:rsidRDefault="00780580" w:rsidP="00780580">
      <w:pPr>
        <w:jc w:val="both"/>
        <w:rPr>
          <w:rFonts w:ascii="Bookman Old Style" w:hAnsi="Bookman Old Style" w:cs="Calibri"/>
        </w:rPr>
      </w:pPr>
    </w:p>
    <w:p w14:paraId="1CBD0263"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14:paraId="1A11452B" w14:textId="77777777" w:rsidR="00780580" w:rsidRPr="00780580" w:rsidRDefault="00780580" w:rsidP="00780580">
      <w:pPr>
        <w:jc w:val="both"/>
        <w:rPr>
          <w:rFonts w:ascii="Bookman Old Style" w:hAnsi="Bookman Old Style" w:cs="Calibri"/>
          <w:lang w:val="es-ES"/>
        </w:rPr>
      </w:pPr>
    </w:p>
    <w:p w14:paraId="239734C0" w14:textId="4D2735A5"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sidR="00E12D89">
        <w:rPr>
          <w:rFonts w:ascii="Bookman Old Style" w:hAnsi="Bookman Old Style" w:cs="Calibri"/>
          <w:lang w:val="es-ES"/>
        </w:rPr>
        <w:t>Desde su presentación en</w:t>
      </w:r>
      <w:r w:rsidRPr="00780580">
        <w:rPr>
          <w:rFonts w:ascii="Bookman Old Style" w:hAnsi="Bookman Old Style" w:cs="Calibri"/>
          <w:lang w:val="es-ES"/>
        </w:rPr>
        <w:t xml:space="preserve"> 2019</w:t>
      </w:r>
      <w:r w:rsidR="00E12D89">
        <w:rPr>
          <w:rFonts w:ascii="Bookman Old Style" w:hAnsi="Bookman Old Style" w:cs="Calibri"/>
          <w:lang w:val="es-ES"/>
        </w:rPr>
        <w:t xml:space="preserve">, la </w:t>
      </w:r>
      <w:r w:rsidR="00E12D89" w:rsidRPr="001D5D7C">
        <w:rPr>
          <w:rFonts w:ascii="Bookman Old Style" w:hAnsi="Bookman Old Style" w:cs="Calibri"/>
          <w:i/>
          <w:iCs/>
          <w:lang w:val="es-ES"/>
        </w:rPr>
        <w:t>SAFE Banking Act</w:t>
      </w:r>
      <w:r w:rsidRPr="00780580">
        <w:rPr>
          <w:rFonts w:ascii="Bookman Old Style" w:hAnsi="Bookman Old Style" w:cs="Calibri"/>
          <w:lang w:val="es-ES"/>
        </w:rPr>
        <w:t xml:space="preserve"> </w:t>
      </w:r>
      <w:r w:rsidR="00E12D89">
        <w:rPr>
          <w:rFonts w:ascii="Bookman Old Style" w:hAnsi="Bookman Old Style" w:cs="Calibri"/>
          <w:lang w:val="es-ES"/>
        </w:rPr>
        <w:t>ha sido</w:t>
      </w:r>
      <w:r w:rsidRPr="00780580">
        <w:rPr>
          <w:rFonts w:ascii="Bookman Old Style" w:hAnsi="Bookman Old Style" w:cs="Calibri"/>
          <w:lang w:val="es-ES"/>
        </w:rPr>
        <w:t xml:space="preserve"> aprobada en la </w:t>
      </w:r>
      <w:r w:rsidR="00A20BDA">
        <w:rPr>
          <w:rFonts w:ascii="Bookman Old Style" w:hAnsi="Bookman Old Style" w:cs="Calibri"/>
          <w:lang w:val="es-ES"/>
        </w:rPr>
        <w:t>C</w:t>
      </w:r>
      <w:r w:rsidRPr="00780580">
        <w:rPr>
          <w:rFonts w:ascii="Bookman Old Style" w:hAnsi="Bookman Old Style" w:cs="Calibri"/>
          <w:lang w:val="es-ES"/>
        </w:rPr>
        <w:t xml:space="preserve">ámara de </w:t>
      </w:r>
      <w:r w:rsidR="00A20BDA">
        <w:rPr>
          <w:rFonts w:ascii="Bookman Old Style" w:hAnsi="Bookman Old Style" w:cs="Calibri"/>
          <w:lang w:val="es-ES"/>
        </w:rPr>
        <w:t>R</w:t>
      </w:r>
      <w:r w:rsidRPr="00780580">
        <w:rPr>
          <w:rFonts w:ascii="Bookman Old Style" w:hAnsi="Bookman Old Style" w:cs="Calibri"/>
          <w:lang w:val="es-ES"/>
        </w:rPr>
        <w:t xml:space="preserve">epresentantes </w:t>
      </w:r>
      <w:r w:rsidR="00E12D89">
        <w:rPr>
          <w:rFonts w:ascii="Bookman Old Style" w:hAnsi="Bookman Old Style" w:cs="Calibri"/>
          <w:lang w:val="es-ES"/>
        </w:rPr>
        <w:t>en seis oportunidades, y a pesar de que no ha podido ser aprobada en el Senado, ahora cuenta con apoyo del biparti</w:t>
      </w:r>
      <w:r w:rsidR="00705BAC">
        <w:rPr>
          <w:rFonts w:ascii="Bookman Old Style" w:hAnsi="Bookman Old Style" w:cs="Calibri"/>
          <w:lang w:val="es-ES"/>
        </w:rPr>
        <w:t>dis</w:t>
      </w:r>
      <w:r w:rsidR="00E12D89">
        <w:rPr>
          <w:rFonts w:ascii="Bookman Old Style" w:hAnsi="Bookman Old Style" w:cs="Calibri"/>
          <w:lang w:val="es-ES"/>
        </w:rPr>
        <w:t>mo</w:t>
      </w:r>
      <w:r w:rsidR="00705BAC">
        <w:rPr>
          <w:rStyle w:val="Refdenotaalpie"/>
          <w:rFonts w:ascii="Bookman Old Style" w:hAnsi="Bookman Old Style" w:cs="Calibri"/>
          <w:lang w:val="es-ES"/>
        </w:rPr>
        <w:footnoteReference w:id="26"/>
      </w:r>
      <w:r w:rsidR="00705BAC">
        <w:rPr>
          <w:rFonts w:ascii="Bookman Old Style" w:hAnsi="Bookman Old Style" w:cs="Calibri"/>
          <w:lang w:val="es-ES"/>
        </w:rPr>
        <w:t xml:space="preserve">. La </w:t>
      </w:r>
      <w:r w:rsidRPr="00780580">
        <w:rPr>
          <w:rFonts w:ascii="Bookman Old Style" w:hAnsi="Bookman Old Style" w:cs="Calibri"/>
          <w:i/>
          <w:lang w:val="es-ES"/>
        </w:rPr>
        <w:t>SAFE Banking Act</w:t>
      </w:r>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sidR="00705BAC">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14:paraId="7ACF7114" w14:textId="77777777" w:rsidR="00780580" w:rsidRPr="00780580" w:rsidRDefault="00780580" w:rsidP="00780580">
      <w:pPr>
        <w:jc w:val="both"/>
        <w:rPr>
          <w:rFonts w:ascii="Bookman Old Style" w:hAnsi="Bookman Old Style" w:cs="Calibri"/>
        </w:rPr>
      </w:pPr>
    </w:p>
    <w:p w14:paraId="0332097A"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14:paraId="31A22E84" w14:textId="77777777" w:rsidR="00780580" w:rsidRPr="00780580" w:rsidRDefault="00780580" w:rsidP="00780580">
      <w:pPr>
        <w:jc w:val="both"/>
        <w:rPr>
          <w:rFonts w:ascii="Bookman Old Style" w:hAnsi="Bookman Old Style" w:cs="Calibri"/>
        </w:rPr>
      </w:pPr>
    </w:p>
    <w:p w14:paraId="35DF4357"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512732BA" w14:textId="77777777" w:rsidR="00780580" w:rsidRPr="00780580" w:rsidRDefault="00780580" w:rsidP="00780580">
      <w:pPr>
        <w:jc w:val="both"/>
        <w:rPr>
          <w:rFonts w:ascii="Bookman Old Style" w:hAnsi="Bookman Old Style" w:cs="Calibri"/>
        </w:rPr>
      </w:pPr>
    </w:p>
    <w:p w14:paraId="67D1E66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Además, un reporte del Congresista Norteamericano E. Blumenauer, señala cómo 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7A80FFA4" w14:textId="77777777" w:rsidR="00780580" w:rsidRPr="00780580" w:rsidRDefault="00780580" w:rsidP="00780580">
      <w:pPr>
        <w:jc w:val="both"/>
        <w:rPr>
          <w:rFonts w:ascii="Bookman Old Style" w:hAnsi="Bookman Old Style" w:cs="Calibri"/>
        </w:rPr>
      </w:pPr>
    </w:p>
    <w:p w14:paraId="41DC2AF1"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36683CD6" w14:textId="77777777" w:rsidR="00780580" w:rsidRPr="00780580" w:rsidRDefault="00780580" w:rsidP="00780580">
      <w:pPr>
        <w:pStyle w:val="Sinespaciado"/>
        <w:jc w:val="both"/>
        <w:rPr>
          <w:rFonts w:ascii="Bookman Old Style" w:hAnsi="Bookman Old Style"/>
          <w:b/>
        </w:rPr>
      </w:pPr>
      <w:bookmarkStart w:id="2" w:name="_Toc5023212"/>
    </w:p>
    <w:p w14:paraId="57F2BD0D"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2"/>
    </w:p>
    <w:p w14:paraId="164B775D" w14:textId="77777777" w:rsidR="00780580" w:rsidRPr="00780580" w:rsidRDefault="00780580" w:rsidP="00780580">
      <w:pPr>
        <w:pStyle w:val="Sinespaciado"/>
        <w:jc w:val="both"/>
        <w:rPr>
          <w:rFonts w:ascii="Bookman Old Style" w:hAnsi="Bookman Old Style"/>
        </w:rPr>
      </w:pPr>
    </w:p>
    <w:p w14:paraId="682EE3E1" w14:textId="4A0C642A" w:rsidR="00780580" w:rsidRPr="00780580" w:rsidRDefault="00780580" w:rsidP="00780580">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14:paraId="69E9184F" w14:textId="77777777" w:rsidR="00780580" w:rsidRPr="00780580" w:rsidRDefault="00780580" w:rsidP="00780580">
      <w:pPr>
        <w:jc w:val="both"/>
        <w:rPr>
          <w:rFonts w:ascii="Bookman Old Style" w:hAnsi="Bookman Old Style" w:cs="Calibri"/>
        </w:rPr>
      </w:pPr>
    </w:p>
    <w:p w14:paraId="2E568C48" w14:textId="040B5717" w:rsidR="00780580" w:rsidRPr="00780580" w:rsidRDefault="00780580" w:rsidP="00780580">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9506A1E" w14:textId="77777777" w:rsidR="00780580" w:rsidRPr="00780580" w:rsidRDefault="00780580" w:rsidP="00780580">
      <w:pPr>
        <w:jc w:val="both"/>
        <w:rPr>
          <w:rFonts w:ascii="Bookman Old Style" w:hAnsi="Bookman Old Style" w:cs="Calibri"/>
        </w:rPr>
      </w:pPr>
    </w:p>
    <w:p w14:paraId="2D03D113"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Más importante aún, señala el informe, es el hecho de que los impactos que puede 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06788705" w14:textId="77777777" w:rsidR="00780580" w:rsidRPr="00780580" w:rsidRDefault="00780580" w:rsidP="00780580">
      <w:pPr>
        <w:jc w:val="both"/>
        <w:rPr>
          <w:rFonts w:ascii="Bookman Old Style" w:hAnsi="Bookman Old Style" w:cs="Calibri"/>
        </w:rPr>
      </w:pPr>
    </w:p>
    <w:p w14:paraId="58E0785F"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14:paraId="3676BF23" w14:textId="77777777" w:rsidR="00780580" w:rsidRPr="00780580" w:rsidRDefault="00780580" w:rsidP="00780580">
      <w:pPr>
        <w:pStyle w:val="Sinespaciado"/>
        <w:jc w:val="both"/>
        <w:rPr>
          <w:rFonts w:ascii="Bookman Old Style" w:hAnsi="Bookman Old Style"/>
        </w:rPr>
      </w:pPr>
      <w:bookmarkStart w:id="3" w:name="_Toc5023213"/>
    </w:p>
    <w:p w14:paraId="048F6767" w14:textId="77777777" w:rsidR="00780580" w:rsidRPr="00780580" w:rsidRDefault="00780580" w:rsidP="00780580">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14:paraId="0C7E8B0D" w14:textId="77777777" w:rsidR="00780580" w:rsidRPr="00780580" w:rsidRDefault="00780580" w:rsidP="00780580">
      <w:pPr>
        <w:pStyle w:val="Sinespaciado"/>
        <w:jc w:val="both"/>
        <w:rPr>
          <w:rFonts w:ascii="Bookman Old Style" w:hAnsi="Bookman Old Style"/>
          <w:lang w:val="es-ES"/>
        </w:rPr>
      </w:pPr>
    </w:p>
    <w:p w14:paraId="6DA920C6"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0C5B4ED5"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25EC0172"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6A003180" w14:textId="77777777" w:rsidR="00780580" w:rsidRPr="00780580" w:rsidRDefault="00780580" w:rsidP="00780580">
      <w:pPr>
        <w:pStyle w:val="Sinespaciado"/>
        <w:jc w:val="both"/>
        <w:rPr>
          <w:rFonts w:ascii="Bookman Old Style" w:hAnsi="Bookman Old Style"/>
          <w:lang w:val="es-ES"/>
        </w:rPr>
      </w:pPr>
    </w:p>
    <w:p w14:paraId="2477F975"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3"/>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29A9BDF2" w14:textId="77777777" w:rsidR="00780580" w:rsidRPr="00780580" w:rsidRDefault="00780580" w:rsidP="00780580">
      <w:pPr>
        <w:pStyle w:val="Sinespaciado"/>
        <w:jc w:val="both"/>
        <w:rPr>
          <w:rFonts w:ascii="Bookman Old Style" w:hAnsi="Bookman Old Style"/>
          <w:b/>
        </w:rPr>
      </w:pPr>
    </w:p>
    <w:p w14:paraId="6FE8A87B"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4B946008" w14:textId="77777777" w:rsidR="00780580" w:rsidRPr="00780580" w:rsidRDefault="00780580" w:rsidP="00780580">
      <w:pPr>
        <w:rPr>
          <w:rFonts w:ascii="Bookman Old Style" w:hAnsi="Bookman Old Style"/>
        </w:rPr>
      </w:pPr>
    </w:p>
    <w:p w14:paraId="1634FBBC" w14:textId="77777777" w:rsidR="00780580" w:rsidRPr="00780580" w:rsidRDefault="00780580" w:rsidP="00780580">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09AA1332" w14:textId="77777777" w:rsidR="00780580" w:rsidRPr="00780580" w:rsidRDefault="00780580" w:rsidP="00780580">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5CAF2BF8" w14:textId="77777777" w:rsidR="00780580" w:rsidRPr="00780580" w:rsidRDefault="00780580" w:rsidP="00780580">
      <w:pPr>
        <w:jc w:val="center"/>
        <w:rPr>
          <w:rFonts w:ascii="Bookman Old Style" w:hAnsi="Bookman Old Style"/>
          <w:b/>
        </w:rPr>
      </w:pPr>
      <w:r w:rsidRPr="00780580">
        <w:rPr>
          <w:rFonts w:ascii="Bookman Old Style" w:hAnsi="Bookman Old Style"/>
          <w:b/>
        </w:rPr>
        <w:t>según fecha de informes realizados.</w:t>
      </w:r>
    </w:p>
    <w:p w14:paraId="4736BBE2" w14:textId="77777777" w:rsidR="00780580" w:rsidRPr="00780580" w:rsidRDefault="00780580" w:rsidP="00780580">
      <w:pPr>
        <w:pStyle w:val="Ttulo2"/>
        <w:ind w:left="0"/>
        <w:jc w:val="both"/>
        <w:rPr>
          <w:rFonts w:ascii="Bookman Old Style" w:hAnsi="Bookman Old Style" w:cs="Calibri"/>
          <w:b w:val="0"/>
          <w:sz w:val="22"/>
          <w:szCs w:val="22"/>
        </w:rPr>
      </w:pPr>
    </w:p>
    <w:p w14:paraId="19D2B16F" w14:textId="77777777" w:rsidR="00780580" w:rsidRPr="00780580" w:rsidRDefault="00780580" w:rsidP="00780580">
      <w:pPr>
        <w:rPr>
          <w:rFonts w:ascii="Bookman Old Style" w:hAnsi="Bookman Old Style"/>
        </w:rPr>
      </w:pPr>
      <w:r w:rsidRPr="00780580">
        <w:rPr>
          <w:rFonts w:ascii="Bookman Old Style" w:hAnsi="Bookman Old Style"/>
          <w:noProof/>
        </w:rPr>
        <w:drawing>
          <wp:inline distT="0" distB="0" distL="0" distR="0" wp14:anchorId="1842CC44" wp14:editId="55A30C64">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42EDAB1E" w14:textId="77777777" w:rsidR="00780580" w:rsidRPr="00780580" w:rsidRDefault="00780580" w:rsidP="00780580">
      <w:pPr>
        <w:rPr>
          <w:rFonts w:ascii="Bookman Old Style" w:hAnsi="Bookman Old Style"/>
          <w:b/>
        </w:rPr>
      </w:pPr>
    </w:p>
    <w:p w14:paraId="32CA75CA" w14:textId="6801E2AD" w:rsidR="00780580" w:rsidRPr="00780580" w:rsidRDefault="00780580" w:rsidP="00780580">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14:paraId="1C15A2B2" w14:textId="77777777" w:rsidR="00780580" w:rsidRPr="00780580" w:rsidRDefault="00780580" w:rsidP="00780580">
      <w:pPr>
        <w:pStyle w:val="Sinespaciado"/>
        <w:jc w:val="both"/>
        <w:rPr>
          <w:rFonts w:ascii="Bookman Old Style" w:hAnsi="Bookman Old Style"/>
          <w:b/>
        </w:rPr>
      </w:pPr>
    </w:p>
    <w:p w14:paraId="050F581D"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Otro punto importante es que la regulación de la marihuana para uso adulto puede llevar a que los países ahorren importantes recursos en políticas punitivas y 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14:paraId="38B41505" w14:textId="77777777" w:rsidR="00780580" w:rsidRPr="00780580" w:rsidRDefault="00780580" w:rsidP="00780580">
      <w:pPr>
        <w:pStyle w:val="Sinespaciado"/>
        <w:jc w:val="both"/>
        <w:rPr>
          <w:rFonts w:ascii="Bookman Old Style" w:hAnsi="Bookman Old Style" w:cs="Calibri"/>
        </w:rPr>
      </w:pPr>
    </w:p>
    <w:p w14:paraId="6F973B67"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7CECF6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73F7C5AF"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0367C2E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3EAD33B2" w14:textId="77777777" w:rsidR="00780580" w:rsidRPr="00780580" w:rsidRDefault="00780580" w:rsidP="00780580">
      <w:pPr>
        <w:pStyle w:val="Sinespaciado"/>
        <w:jc w:val="both"/>
        <w:rPr>
          <w:rFonts w:ascii="Bookman Old Style" w:hAnsi="Bookman Old Style"/>
        </w:rPr>
      </w:pPr>
      <w:bookmarkStart w:id="4" w:name="_Toc5023216"/>
    </w:p>
    <w:p w14:paraId="15A4FF58"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4"/>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4"/>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655B6069" w14:textId="77777777" w:rsidR="00F36280" w:rsidRPr="00485CC5" w:rsidRDefault="00F36280" w:rsidP="00F36280">
      <w:pPr>
        <w:rPr>
          <w:rFonts w:ascii="Bookman Old Style" w:hAnsi="Bookman Old Style"/>
          <w:szCs w:val="24"/>
        </w:rPr>
      </w:pPr>
    </w:p>
    <w:p w14:paraId="7C518C74" w14:textId="0C8ADD0B" w:rsidR="00291DEF" w:rsidRDefault="00291DEF" w:rsidP="00291DE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464E96C8" w14:textId="77777777" w:rsidR="00291DEF" w:rsidRPr="00291DEF" w:rsidRDefault="00291DEF" w:rsidP="00291DEF">
      <w:pPr>
        <w:rPr>
          <w:rFonts w:eastAsia="Calibri"/>
        </w:rPr>
      </w:pPr>
    </w:p>
    <w:p w14:paraId="75A3EF52" w14:textId="6E27684D" w:rsidR="00291DEF" w:rsidRDefault="00291DEF" w:rsidP="00291DEF">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78D93F84" w14:textId="6D4E8847" w:rsidR="00585043" w:rsidRDefault="00585043" w:rsidP="00585043">
      <w:pPr>
        <w:rPr>
          <w:rFonts w:eastAsia="Calibri"/>
        </w:rPr>
      </w:pPr>
    </w:p>
    <w:p w14:paraId="2B6BE474" w14:textId="1F98703C" w:rsidR="00585043" w:rsidRPr="00585043" w:rsidRDefault="00585043" w:rsidP="001D5D7C">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rea el marco legal para el uso de la fibra y el grano del cáñamo, cuyo contenido de tetrahidrocannabinol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14:paraId="2D210E02" w14:textId="77777777" w:rsidR="00291DEF" w:rsidRPr="00BA2C74" w:rsidRDefault="00291DEF" w:rsidP="00291DEF">
      <w:pPr>
        <w:pStyle w:val="Ttulo2"/>
        <w:ind w:left="0"/>
        <w:jc w:val="both"/>
        <w:rPr>
          <w:rFonts w:ascii="Bookman Old Style" w:eastAsia="Calibri" w:hAnsi="Bookman Old Style" w:cs="Calibri"/>
          <w:b w:val="0"/>
          <w:sz w:val="22"/>
          <w:szCs w:val="22"/>
        </w:rPr>
      </w:pPr>
    </w:p>
    <w:p w14:paraId="682327E2" w14:textId="7441C724" w:rsidR="00291DEF" w:rsidRPr="00BA2C74" w:rsidRDefault="00617787" w:rsidP="00291DEF">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t>Leyes que han ayudado al desarrollo de la i</w:t>
      </w:r>
      <w:r w:rsidR="00291DEF"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cual </w:t>
      </w:r>
      <w:r w:rsidR="00291DEF" w:rsidRPr="00BA2C74">
        <w:rPr>
          <w:rFonts w:ascii="Bookman Old Style" w:eastAsia="Calibri" w:hAnsi="Bookman Old Style"/>
          <w:b w:val="0"/>
          <w:sz w:val="22"/>
          <w:szCs w:val="22"/>
        </w:rPr>
        <w:t xml:space="preserve"> le ha traído al país diversos beneficios teniendo en consideración que el solo tramité y expedición de las licencias tienen unos costos que oscilan entre los cuatro y los cinco millones.</w:t>
      </w:r>
    </w:p>
    <w:p w14:paraId="27BDFC0B" w14:textId="77777777" w:rsidR="00291DEF" w:rsidRPr="00BA2C74" w:rsidRDefault="00291DEF" w:rsidP="00291DEF">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14:paraId="3E7AFDE6"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14:paraId="0F6B3A79" w14:textId="77777777" w:rsidR="00291DEF" w:rsidRPr="00BA2C74" w:rsidRDefault="00291DEF" w:rsidP="00291DEF">
      <w:pPr>
        <w:pBdr>
          <w:top w:val="nil"/>
          <w:left w:val="nil"/>
          <w:bottom w:val="nil"/>
          <w:right w:val="nil"/>
          <w:between w:val="nil"/>
        </w:pBdr>
        <w:ind w:left="720"/>
        <w:jc w:val="both"/>
        <w:rPr>
          <w:rFonts w:ascii="Bookman Old Style" w:eastAsia="Calibri" w:hAnsi="Bookman Old Style" w:cs="Arial"/>
          <w:color w:val="000000"/>
          <w:lang w:val="es-ES_tradnl"/>
        </w:rPr>
      </w:pPr>
    </w:p>
    <w:p w14:paraId="1FAEE63C" w14:textId="77777777" w:rsidR="00291DEF" w:rsidRPr="00BA2C74" w:rsidRDefault="00291DEF" w:rsidP="00291DEF">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13C36111" w14:textId="77777777" w:rsidR="00291DEF" w:rsidRPr="00BA2C74" w:rsidRDefault="00291DEF" w:rsidP="00291DEF">
      <w:pPr>
        <w:ind w:left="1440"/>
        <w:jc w:val="both"/>
        <w:rPr>
          <w:rFonts w:ascii="Bookman Old Style" w:eastAsia="Calibri" w:hAnsi="Bookman Old Style" w:cs="Arial"/>
          <w:lang w:val="es-ES_tradnl"/>
        </w:rPr>
      </w:pPr>
    </w:p>
    <w:p w14:paraId="496F97C6" w14:textId="77777777" w:rsidR="00291DEF" w:rsidRPr="00BA2C74" w:rsidRDefault="00291DEF" w:rsidP="00291DEF">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14:paraId="591E7586" w14:textId="77777777" w:rsidR="00291DEF" w:rsidRPr="00BA2C74" w:rsidRDefault="00291DEF" w:rsidP="00291DEF">
      <w:pPr>
        <w:pStyle w:val="Prrafodelista"/>
        <w:spacing w:after="0" w:line="240" w:lineRule="auto"/>
        <w:ind w:left="993"/>
        <w:jc w:val="both"/>
        <w:rPr>
          <w:rFonts w:ascii="Bookman Old Style" w:eastAsia="Calibri" w:hAnsi="Bookman Old Style" w:cs="Arial"/>
          <w:lang w:val="es-ES_tradnl"/>
        </w:rPr>
      </w:pPr>
    </w:p>
    <w:p w14:paraId="008F736B"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14:paraId="1A4B8C44" w14:textId="77777777" w:rsidR="00291DEF" w:rsidRPr="00BA2C74" w:rsidRDefault="00291DEF" w:rsidP="00291DEF">
      <w:pPr>
        <w:pStyle w:val="Ttulo2"/>
        <w:ind w:left="0"/>
        <w:jc w:val="both"/>
        <w:rPr>
          <w:rFonts w:ascii="Bookman Old Style" w:eastAsia="Calibri" w:hAnsi="Bookman Old Style"/>
          <w:b w:val="0"/>
          <w:sz w:val="22"/>
          <w:szCs w:val="22"/>
        </w:rPr>
      </w:pPr>
    </w:p>
    <w:p w14:paraId="5F50CF9D" w14:textId="3A6CF6FA"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sidR="00A20BDA">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14:paraId="3A39A73E"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p>
    <w:p w14:paraId="50D1D894"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14:paraId="1D6E848D" w14:textId="77777777" w:rsidR="00291DEF" w:rsidRPr="00BA2C74" w:rsidRDefault="00291DEF" w:rsidP="00291DEF">
      <w:pPr>
        <w:pStyle w:val="Ttulo2"/>
        <w:ind w:left="0"/>
        <w:jc w:val="both"/>
        <w:rPr>
          <w:rFonts w:ascii="Bookman Old Style" w:eastAsia="Calibri" w:hAnsi="Bookman Old Style"/>
          <w:b w:val="0"/>
          <w:sz w:val="22"/>
          <w:szCs w:val="22"/>
          <w:lang w:val="es-ES_tradnl"/>
        </w:rPr>
      </w:pPr>
    </w:p>
    <w:p w14:paraId="793163AE" w14:textId="69D7D9C5" w:rsidR="00666F3D" w:rsidRPr="00211111" w:rsidRDefault="00291DEF" w:rsidP="00211111">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14:paraId="18CA5CB8" w14:textId="5E1DCB95" w:rsidR="00211111" w:rsidRPr="001D5D7C" w:rsidRDefault="00211111" w:rsidP="00211111">
      <w:pPr>
        <w:rPr>
          <w:rFonts w:ascii="Bookman Old Style" w:eastAsia="Calibri" w:hAnsi="Bookman Old Style"/>
        </w:rPr>
      </w:pPr>
    </w:p>
    <w:p w14:paraId="3817EDA5" w14:textId="24A7FE06" w:rsidR="00211111" w:rsidRDefault="00EF13D8" w:rsidP="00EF13D8">
      <w:pPr>
        <w:jc w:val="both"/>
        <w:rPr>
          <w:rFonts w:ascii="Bookman Old Style" w:eastAsia="Calibri" w:hAnsi="Bookman Old Style"/>
        </w:rPr>
      </w:pPr>
      <w:r>
        <w:rPr>
          <w:rFonts w:ascii="Bookman Old Style" w:eastAsia="Calibri" w:hAnsi="Bookman Old Style"/>
        </w:rPr>
        <w:t>Bajo cifras oficial</w:t>
      </w:r>
      <w:r w:rsidR="006D3ED5">
        <w:rPr>
          <w:rFonts w:ascii="Bookman Old Style" w:eastAsia="Calibri" w:hAnsi="Bookman Old Style"/>
        </w:rPr>
        <w:t>es</w:t>
      </w:r>
      <w:r>
        <w:rPr>
          <w:rFonts w:ascii="Bookman Old Style" w:eastAsia="Calibri" w:hAnsi="Bookman Old Style"/>
        </w:rPr>
        <w:t xml:space="preserve"> de</w:t>
      </w:r>
      <w:r w:rsidR="00211111" w:rsidRPr="001D5D7C">
        <w:rPr>
          <w:rFonts w:ascii="Bookman Old Style" w:eastAsia="Calibri" w:hAnsi="Bookman Old Style"/>
        </w:rPr>
        <w:t xml:space="preserve"> la </w:t>
      </w:r>
      <w:r w:rsidR="00211111">
        <w:rPr>
          <w:rFonts w:ascii="Bookman Old Style" w:eastAsia="Calibri" w:hAnsi="Bookman Old Style"/>
        </w:rPr>
        <w:t>D</w:t>
      </w:r>
      <w:r w:rsidR="00211111" w:rsidRPr="001D5D7C">
        <w:rPr>
          <w:rFonts w:ascii="Bookman Old Style" w:eastAsia="Calibri" w:hAnsi="Bookman Old Style"/>
        </w:rPr>
        <w:t xml:space="preserve">irección </w:t>
      </w:r>
      <w:r w:rsidR="00211111">
        <w:rPr>
          <w:rFonts w:ascii="Bookman Old Style" w:eastAsia="Calibri" w:hAnsi="Bookman Old Style"/>
        </w:rPr>
        <w:t xml:space="preserve">de política de drogas y actividades relacionadas, del Ministerio de Justicia y del Derecho, así como </w:t>
      </w:r>
      <w:r>
        <w:rPr>
          <w:rFonts w:ascii="Bookman Old Style" w:eastAsia="Calibri" w:hAnsi="Bookman Old Style"/>
        </w:rPr>
        <w:t>del</w:t>
      </w:r>
      <w:r w:rsidR="00211111">
        <w:rPr>
          <w:rFonts w:ascii="Bookman Old Style" w:eastAsia="Calibri" w:hAnsi="Bookman Old Style"/>
        </w:rPr>
        <w:t xml:space="preserve"> Fondo Nacional de estupefacientes del Ministerio de Salud y Protección Social</w:t>
      </w:r>
      <w:r>
        <w:rPr>
          <w:rFonts w:ascii="Bookman Old Style" w:eastAsia="Calibri" w:hAnsi="Bookman Old Style"/>
        </w:rPr>
        <w:t>, tenemos que en Colombia:</w:t>
      </w:r>
    </w:p>
    <w:p w14:paraId="4B68D5B8" w14:textId="3A7ED950" w:rsidR="00EF13D8" w:rsidRDefault="00EF13D8" w:rsidP="00EF13D8">
      <w:pPr>
        <w:jc w:val="both"/>
        <w:rPr>
          <w:rFonts w:ascii="Bookman Old Style" w:eastAsia="Calibri" w:hAnsi="Bookman Old Style"/>
        </w:rPr>
      </w:pPr>
    </w:p>
    <w:p w14:paraId="2F63B5A5" w14:textId="541D6AD0" w:rsidR="00EF13D8" w:rsidRPr="001D5D7C" w:rsidRDefault="00EF13D8" w:rsidP="001D5D7C">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14:paraId="64FE1E5C" w14:textId="303B3FFE" w:rsidR="00291DEF" w:rsidRDefault="00EF13D8" w:rsidP="00291DEF">
      <w:pPr>
        <w:rPr>
          <w:rFonts w:eastAsia="Calibri"/>
        </w:rPr>
      </w:pPr>
      <w:r>
        <w:rPr>
          <w:noProof/>
        </w:rPr>
        <w:drawing>
          <wp:inline distT="0" distB="0" distL="0" distR="0" wp14:anchorId="6C12CD2F" wp14:editId="6F37283F">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14:paraId="31BE5FB8" w14:textId="729DC7CD" w:rsidR="00291DEF" w:rsidRDefault="00EF13D8" w:rsidP="00291DEF">
      <w:pPr>
        <w:rPr>
          <w:rFonts w:eastAsia="Calibri"/>
        </w:rPr>
      </w:pPr>
      <w:r>
        <w:rPr>
          <w:noProof/>
        </w:rPr>
        <w:drawing>
          <wp:inline distT="0" distB="0" distL="0" distR="0" wp14:anchorId="59FDBDE8" wp14:editId="354D3DF4">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14:paraId="2A06FF08" w14:textId="03C7884B" w:rsidR="00EF13D8" w:rsidRDefault="00EF13D8" w:rsidP="00291DEF">
      <w:pPr>
        <w:rPr>
          <w:rFonts w:eastAsia="Calibri"/>
        </w:rPr>
      </w:pPr>
    </w:p>
    <w:p w14:paraId="1B6A0A49" w14:textId="50CAEA04" w:rsidR="00C63160" w:rsidRDefault="00EF13D8" w:rsidP="006D3ED5">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 xml:space="preserve">Bajo ese mismo periodo se han otorgado </w:t>
      </w:r>
      <w:r w:rsidR="00C63160" w:rsidRPr="001D5D7C">
        <w:rPr>
          <w:rFonts w:ascii="Bookman Old Style" w:eastAsia="Calibri" w:hAnsi="Bookman Old Style"/>
        </w:rPr>
        <w:t>más de 202 cupos para la fabricación de derivados de cannabis en las modalidades de investigación, uso nacional y exportación</w:t>
      </w:r>
      <w:r w:rsidR="00C63160" w:rsidRPr="006D3ED5">
        <w:rPr>
          <w:rFonts w:ascii="Bookman Old Style" w:eastAsia="Calibri" w:hAnsi="Bookman Old Style"/>
        </w:rPr>
        <w:t xml:space="preserve">, correspondientes a </w:t>
      </w:r>
      <w:r w:rsidR="00C63160" w:rsidRPr="001D5D7C">
        <w:rPr>
          <w:rFonts w:ascii="Bookman Old Style" w:hAnsi="Bookman Old Style"/>
        </w:rPr>
        <w:t>482.071,97 Kg de cannabis</w:t>
      </w:r>
      <w:r w:rsidR="00C63160" w:rsidRPr="001D5D7C">
        <w:rPr>
          <w:rFonts w:ascii="Bookman Old Style" w:eastAsia="Calibri" w:hAnsi="Bookman Old Style"/>
        </w:rPr>
        <w:t>.</w:t>
      </w:r>
    </w:p>
    <w:p w14:paraId="13808016" w14:textId="77777777" w:rsidR="006D3ED5" w:rsidRPr="001D5D7C" w:rsidRDefault="006D3ED5" w:rsidP="001D5D7C">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C63160" w14:paraId="1BA95DAC" w14:textId="77777777" w:rsidTr="00E00894">
        <w:tc>
          <w:tcPr>
            <w:tcW w:w="2207" w:type="dxa"/>
          </w:tcPr>
          <w:p w14:paraId="434CDF89" w14:textId="371CD512"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AÑO</w:t>
            </w:r>
          </w:p>
        </w:tc>
        <w:tc>
          <w:tcPr>
            <w:tcW w:w="2207" w:type="dxa"/>
          </w:tcPr>
          <w:p w14:paraId="77285120" w14:textId="0F84CE51"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14:paraId="60BD27F7" w14:textId="483945A7"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14:paraId="53B32BEF" w14:textId="33A0463B"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EXPORTACIÓN</w:t>
            </w:r>
          </w:p>
        </w:tc>
      </w:tr>
      <w:tr w:rsidR="00C63160" w14:paraId="0961C769" w14:textId="77777777" w:rsidTr="00E00894">
        <w:tc>
          <w:tcPr>
            <w:tcW w:w="2207" w:type="dxa"/>
          </w:tcPr>
          <w:p w14:paraId="4B7B4DE6"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2017</w:t>
            </w:r>
          </w:p>
        </w:tc>
        <w:tc>
          <w:tcPr>
            <w:tcW w:w="2207" w:type="dxa"/>
          </w:tcPr>
          <w:p w14:paraId="54685628"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41BE220F"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362D780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r>
      <w:tr w:rsidR="00C63160" w14:paraId="0B7CB435" w14:textId="77777777" w:rsidTr="00E00894">
        <w:tc>
          <w:tcPr>
            <w:tcW w:w="2207" w:type="dxa"/>
          </w:tcPr>
          <w:p w14:paraId="072BC317"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2018</w:t>
            </w:r>
          </w:p>
        </w:tc>
        <w:tc>
          <w:tcPr>
            <w:tcW w:w="2207" w:type="dxa"/>
          </w:tcPr>
          <w:p w14:paraId="34E808D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14:paraId="44A7345C"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5D907F9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r>
      <w:tr w:rsidR="00C63160" w14:paraId="5C611E08" w14:textId="77777777" w:rsidTr="00E00894">
        <w:tc>
          <w:tcPr>
            <w:tcW w:w="2207" w:type="dxa"/>
          </w:tcPr>
          <w:p w14:paraId="4A1A06A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2019</w:t>
            </w:r>
          </w:p>
        </w:tc>
        <w:tc>
          <w:tcPr>
            <w:tcW w:w="2207" w:type="dxa"/>
          </w:tcPr>
          <w:p w14:paraId="637D433A"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14:paraId="5788E1C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14:paraId="3949B993"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3 cupos – 1.074,12 Kg.</w:t>
            </w:r>
          </w:p>
        </w:tc>
      </w:tr>
      <w:tr w:rsidR="00C63160" w14:paraId="754242AC" w14:textId="77777777" w:rsidTr="00E00894">
        <w:tc>
          <w:tcPr>
            <w:tcW w:w="2207" w:type="dxa"/>
          </w:tcPr>
          <w:p w14:paraId="14CA0CC0"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2020</w:t>
            </w:r>
          </w:p>
        </w:tc>
        <w:tc>
          <w:tcPr>
            <w:tcW w:w="2207" w:type="dxa"/>
          </w:tcPr>
          <w:p w14:paraId="2657CE2F"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14:paraId="118DAFE7"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14:paraId="03A1E7B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18 cupos – 44.419,6 Kg.</w:t>
            </w:r>
          </w:p>
        </w:tc>
      </w:tr>
      <w:tr w:rsidR="00C63160" w14:paraId="5F8ABD1B" w14:textId="77777777" w:rsidTr="00E00894">
        <w:tc>
          <w:tcPr>
            <w:tcW w:w="2207" w:type="dxa"/>
          </w:tcPr>
          <w:p w14:paraId="0A04A45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2021</w:t>
            </w:r>
          </w:p>
        </w:tc>
        <w:tc>
          <w:tcPr>
            <w:tcW w:w="2207" w:type="dxa"/>
          </w:tcPr>
          <w:p w14:paraId="6F226291"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14:paraId="152C4C4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14:paraId="5F767C48"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19 cupos – 191.492,155 Kg.</w:t>
            </w:r>
          </w:p>
        </w:tc>
      </w:tr>
      <w:tr w:rsidR="00C63160" w14:paraId="0639E4B6" w14:textId="77777777" w:rsidTr="00E00894">
        <w:tc>
          <w:tcPr>
            <w:tcW w:w="2207" w:type="dxa"/>
          </w:tcPr>
          <w:p w14:paraId="6885A4AD"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2022 a junio 30.</w:t>
            </w:r>
          </w:p>
        </w:tc>
        <w:tc>
          <w:tcPr>
            <w:tcW w:w="2207" w:type="dxa"/>
          </w:tcPr>
          <w:p w14:paraId="6A0B61F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14:paraId="51B9B710"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14:paraId="5CB0D07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12 cupos – 195.040,191 Kg.</w:t>
            </w:r>
          </w:p>
        </w:tc>
      </w:tr>
      <w:tr w:rsidR="00C63160" w14:paraId="345CC965" w14:textId="77777777" w:rsidTr="001D5D7C">
        <w:tc>
          <w:tcPr>
            <w:tcW w:w="2207" w:type="dxa"/>
            <w:shd w:val="clear" w:color="auto" w:fill="BFBFBF" w:themeFill="background1" w:themeFillShade="BF"/>
          </w:tcPr>
          <w:p w14:paraId="7607C32D" w14:textId="77777777" w:rsidR="00C63160" w:rsidRPr="001D5D7C" w:rsidRDefault="00C63160" w:rsidP="00E00894">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14:paraId="22D783D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14:paraId="40EAB27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14:paraId="06CE534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52 cupos – 432.026,06 Kg.</w:t>
            </w:r>
          </w:p>
        </w:tc>
      </w:tr>
    </w:tbl>
    <w:p w14:paraId="0EF2C1D5" w14:textId="1D228A9F" w:rsidR="00EF13D8" w:rsidRDefault="00EF13D8" w:rsidP="00291DEF">
      <w:pPr>
        <w:rPr>
          <w:rFonts w:eastAsia="Calibri"/>
        </w:rPr>
      </w:pPr>
    </w:p>
    <w:p w14:paraId="512CC689" w14:textId="605CA39A" w:rsidR="00EF13D8" w:rsidRPr="001D5D7C" w:rsidRDefault="006D3ED5" w:rsidP="001D5D7C">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14:paraId="70AE7785" w14:textId="0ADC3AF8" w:rsidR="00C63160" w:rsidRDefault="006D3ED5" w:rsidP="00291DEF">
      <w:pPr>
        <w:rPr>
          <w:rFonts w:eastAsia="Calibri"/>
        </w:rPr>
      </w:pPr>
      <w:r w:rsidRPr="00933EEE">
        <w:rPr>
          <w:rFonts w:ascii="Bookman Old Style" w:hAnsi="Bookman Old Style"/>
          <w:noProof/>
        </w:rPr>
        <w:drawing>
          <wp:inline distT="0" distB="0" distL="0" distR="0" wp14:anchorId="3DCEF02B" wp14:editId="2BC394D0">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14:paraId="01A48B59" w14:textId="050E1DCB" w:rsidR="00C63160" w:rsidRDefault="00C63160" w:rsidP="00291DEF">
      <w:pPr>
        <w:rPr>
          <w:rFonts w:eastAsia="Calibri"/>
        </w:rPr>
      </w:pPr>
    </w:p>
    <w:p w14:paraId="211586F0" w14:textId="5C1646BE" w:rsidR="00762188" w:rsidRDefault="00762188" w:rsidP="001D5D7C">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14:paraId="5DA4D850" w14:textId="77777777" w:rsidR="00762188" w:rsidRPr="001D5D7C" w:rsidRDefault="00762188" w:rsidP="001D5D7C">
      <w:pPr>
        <w:pStyle w:val="Prrafodelista"/>
        <w:spacing w:line="240" w:lineRule="auto"/>
        <w:jc w:val="both"/>
        <w:rPr>
          <w:rFonts w:ascii="Bookman Old Style" w:hAnsi="Bookman Old Style"/>
        </w:rPr>
      </w:pPr>
    </w:p>
    <w:p w14:paraId="2585F553" w14:textId="77777777" w:rsidR="00461422" w:rsidRDefault="00762188" w:rsidP="001D5D7C">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14:paraId="1F212814" w14:textId="77777777" w:rsidR="00461422" w:rsidRPr="001D5D7C" w:rsidRDefault="00461422" w:rsidP="001D5D7C">
      <w:pPr>
        <w:pStyle w:val="Prrafodelista"/>
        <w:spacing w:line="240" w:lineRule="auto"/>
        <w:rPr>
          <w:rFonts w:ascii="Bookman Old Style" w:hAnsi="Bookman Old Style"/>
        </w:rPr>
      </w:pPr>
    </w:p>
    <w:p w14:paraId="6413A5A0" w14:textId="4DA8E2E8" w:rsidR="00D71D62" w:rsidRPr="001D5D7C" w:rsidRDefault="00461422" w:rsidP="001D5D7C">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00762188" w:rsidRPr="001D5D7C">
        <w:rPr>
          <w:rFonts w:ascii="Bookman Old Style" w:hAnsi="Bookman Old Style"/>
        </w:rPr>
        <w:t>recaudados por concepto de trámite de licencias de uso de semillas de cannabis y licencias de cultivo de 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00762188"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D71D62" w:rsidRPr="00933EEE" w14:paraId="6B84B321" w14:textId="77777777" w:rsidTr="00E00894">
        <w:tc>
          <w:tcPr>
            <w:tcW w:w="8828" w:type="dxa"/>
            <w:gridSpan w:val="2"/>
          </w:tcPr>
          <w:p w14:paraId="646400EF"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D71D62" w:rsidRPr="00933EEE" w14:paraId="2BE9A7B5" w14:textId="77777777" w:rsidTr="00E00894">
        <w:tc>
          <w:tcPr>
            <w:tcW w:w="4414" w:type="dxa"/>
          </w:tcPr>
          <w:p w14:paraId="5CD8DED0"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14:paraId="06E8CC13"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VALOR RECAUDADO</w:t>
            </w:r>
          </w:p>
        </w:tc>
      </w:tr>
      <w:tr w:rsidR="00D71D62" w:rsidRPr="00933EEE" w14:paraId="738D7BAB" w14:textId="77777777" w:rsidTr="00E00894">
        <w:tc>
          <w:tcPr>
            <w:tcW w:w="4414" w:type="dxa"/>
          </w:tcPr>
          <w:p w14:paraId="3DD38413"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2017</w:t>
            </w:r>
          </w:p>
        </w:tc>
        <w:tc>
          <w:tcPr>
            <w:tcW w:w="4414" w:type="dxa"/>
          </w:tcPr>
          <w:p w14:paraId="767EA504"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$ 811.950´453.43</w:t>
            </w:r>
          </w:p>
        </w:tc>
      </w:tr>
      <w:tr w:rsidR="00D71D62" w:rsidRPr="00933EEE" w14:paraId="2F66D217" w14:textId="77777777" w:rsidTr="00E00894">
        <w:tc>
          <w:tcPr>
            <w:tcW w:w="4414" w:type="dxa"/>
          </w:tcPr>
          <w:p w14:paraId="15CE3AA5"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2018</w:t>
            </w:r>
          </w:p>
        </w:tc>
        <w:tc>
          <w:tcPr>
            <w:tcW w:w="4414" w:type="dxa"/>
          </w:tcPr>
          <w:p w14:paraId="23AC9898"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$ 9.506´181.534,62</w:t>
            </w:r>
          </w:p>
        </w:tc>
      </w:tr>
      <w:tr w:rsidR="00D71D62" w:rsidRPr="00933EEE" w14:paraId="05670E0A" w14:textId="77777777" w:rsidTr="00E00894">
        <w:tc>
          <w:tcPr>
            <w:tcW w:w="4414" w:type="dxa"/>
          </w:tcPr>
          <w:p w14:paraId="16969227"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2019</w:t>
            </w:r>
          </w:p>
        </w:tc>
        <w:tc>
          <w:tcPr>
            <w:tcW w:w="4414" w:type="dxa"/>
          </w:tcPr>
          <w:p w14:paraId="297194D2"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$ 14.394´922.757,45</w:t>
            </w:r>
          </w:p>
        </w:tc>
      </w:tr>
      <w:tr w:rsidR="00D71D62" w:rsidRPr="00933EEE" w14:paraId="5F7B9C58" w14:textId="77777777" w:rsidTr="00E00894">
        <w:tc>
          <w:tcPr>
            <w:tcW w:w="4414" w:type="dxa"/>
          </w:tcPr>
          <w:p w14:paraId="5D924FA0"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2020</w:t>
            </w:r>
          </w:p>
        </w:tc>
        <w:tc>
          <w:tcPr>
            <w:tcW w:w="4414" w:type="dxa"/>
          </w:tcPr>
          <w:p w14:paraId="51059D97"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$ 5.440´612.915,45</w:t>
            </w:r>
          </w:p>
        </w:tc>
      </w:tr>
      <w:tr w:rsidR="00D71D62" w:rsidRPr="00933EEE" w14:paraId="5342F0C9" w14:textId="77777777" w:rsidTr="00E00894">
        <w:tc>
          <w:tcPr>
            <w:tcW w:w="4414" w:type="dxa"/>
          </w:tcPr>
          <w:p w14:paraId="2429CACA"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2021</w:t>
            </w:r>
          </w:p>
        </w:tc>
        <w:tc>
          <w:tcPr>
            <w:tcW w:w="4414" w:type="dxa"/>
          </w:tcPr>
          <w:p w14:paraId="725573A8"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$ 6.511´915.892,88</w:t>
            </w:r>
          </w:p>
        </w:tc>
      </w:tr>
      <w:tr w:rsidR="00D71D62" w:rsidRPr="00933EEE" w14:paraId="394EE156" w14:textId="77777777" w:rsidTr="00E00894">
        <w:tc>
          <w:tcPr>
            <w:tcW w:w="4414" w:type="dxa"/>
          </w:tcPr>
          <w:p w14:paraId="4A1C397E"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2022</w:t>
            </w:r>
          </w:p>
        </w:tc>
        <w:tc>
          <w:tcPr>
            <w:tcW w:w="4414" w:type="dxa"/>
          </w:tcPr>
          <w:p w14:paraId="37D674E2"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$ 5.750´137.541,17</w:t>
            </w:r>
          </w:p>
        </w:tc>
      </w:tr>
      <w:tr w:rsidR="00D71D62" w:rsidRPr="00933EEE" w14:paraId="11A55DE9" w14:textId="77777777" w:rsidTr="001D5D7C">
        <w:tc>
          <w:tcPr>
            <w:tcW w:w="4414" w:type="dxa"/>
            <w:shd w:val="clear" w:color="auto" w:fill="BFBFBF" w:themeFill="background1" w:themeFillShade="BF"/>
          </w:tcPr>
          <w:p w14:paraId="222774EA"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14:paraId="5EBCF239"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$ 42.415´721.095,00</w:t>
            </w:r>
          </w:p>
        </w:tc>
      </w:tr>
    </w:tbl>
    <w:p w14:paraId="4478A9B7" w14:textId="436235F9" w:rsidR="00D71D62" w:rsidRDefault="00D71D62" w:rsidP="00762334">
      <w:pPr>
        <w:jc w:val="both"/>
        <w:rPr>
          <w:rFonts w:ascii="Bookman Old Style" w:hAnsi="Bookman Old Style"/>
        </w:rPr>
      </w:pPr>
    </w:p>
    <w:p w14:paraId="30BC2DA8" w14:textId="33DC08DA" w:rsidR="00D71D62" w:rsidRPr="00D71D62" w:rsidRDefault="00D71D62" w:rsidP="001D5D7C">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sidR="00201AD2">
        <w:rPr>
          <w:rFonts w:ascii="Bookman Old Style" w:hAnsi="Bookman Old Style"/>
        </w:rPr>
        <w:t xml:space="preserve"> que</w:t>
      </w:r>
      <w:r w:rsidRPr="00D71D62">
        <w:rPr>
          <w:rFonts w:ascii="Bookman Old Style" w:hAnsi="Bookman Old Style"/>
        </w:rPr>
        <w:t xml:space="preserve">: </w:t>
      </w:r>
    </w:p>
    <w:p w14:paraId="3E305156" w14:textId="77777777" w:rsidR="00D71D62" w:rsidRPr="00D71D62" w:rsidRDefault="00D71D62" w:rsidP="001D5D7C">
      <w:pPr>
        <w:pStyle w:val="Prrafodelista"/>
        <w:spacing w:line="240" w:lineRule="auto"/>
        <w:jc w:val="both"/>
        <w:rPr>
          <w:rFonts w:ascii="Bookman Old Style" w:hAnsi="Bookman Old Style"/>
        </w:rPr>
      </w:pPr>
    </w:p>
    <w:p w14:paraId="5EAD18C5" w14:textId="77777777" w:rsidR="00D71D62" w:rsidRPr="00D71D62" w:rsidRDefault="00D71D62" w:rsidP="001D5D7C">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14:paraId="319C372D" w14:textId="77777777" w:rsidR="00D71D62" w:rsidRPr="00D71D62" w:rsidRDefault="00D71D62" w:rsidP="001D5D7C">
      <w:pPr>
        <w:pStyle w:val="Prrafodelista"/>
        <w:spacing w:line="240" w:lineRule="auto"/>
        <w:ind w:right="616"/>
        <w:jc w:val="both"/>
        <w:rPr>
          <w:rFonts w:ascii="Bookman Old Style" w:hAnsi="Bookman Old Style"/>
          <w:i/>
          <w:iCs/>
          <w:lang w:val="es-ES"/>
        </w:rPr>
      </w:pPr>
    </w:p>
    <w:p w14:paraId="50FD8B9E" w14:textId="77777777" w:rsidR="00D71D62" w:rsidRPr="00D71D62" w:rsidRDefault="00D71D62" w:rsidP="001D5D7C">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más los que se pueden generar de forma indirecta conforme se incrementan las exportaciones. Bajo esta perspectiva, según cálculos de ProColombia, con información del DANE y Fedesarrollo, bajo un escenario de precios internacionales intermedio de cannabis medicinal (entre 1.000 y 1.500 USD por kg. de extracto), se proyecta que esta industria generará aproximadamente 44.000 puestos de trabajo para el 2030.</w:t>
      </w:r>
    </w:p>
    <w:p w14:paraId="29E2172C" w14:textId="77777777" w:rsidR="00D71D62" w:rsidRPr="00D71D62" w:rsidRDefault="00D71D62" w:rsidP="001D5D7C">
      <w:pPr>
        <w:pStyle w:val="Prrafodelista"/>
        <w:spacing w:line="240" w:lineRule="auto"/>
        <w:ind w:right="616"/>
        <w:jc w:val="both"/>
        <w:rPr>
          <w:rFonts w:ascii="Bookman Old Style" w:hAnsi="Bookman Old Style"/>
          <w:i/>
          <w:iCs/>
          <w:lang w:val="es-ES"/>
        </w:rPr>
      </w:pPr>
    </w:p>
    <w:p w14:paraId="0999B26A" w14:textId="711271D6" w:rsidR="006D3ED5" w:rsidRPr="001D5D7C" w:rsidRDefault="00D71D62" w:rsidP="001D5D7C">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14:paraId="3D272DD5" w14:textId="77777777" w:rsidR="00201AD2" w:rsidRDefault="00201AD2" w:rsidP="001D5D7C">
      <w:pPr>
        <w:pStyle w:val="Prrafodelista"/>
        <w:rPr>
          <w:rFonts w:ascii="Bookman Old Style" w:eastAsia="Calibri" w:hAnsi="Bookman Old Style"/>
        </w:rPr>
      </w:pPr>
    </w:p>
    <w:p w14:paraId="38018370" w14:textId="331C600E" w:rsidR="006D3ED5" w:rsidRPr="001D5D7C" w:rsidRDefault="00201AD2" w:rsidP="001D5D7C">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w:t>
      </w:r>
      <w:r w:rsidR="000606C7">
        <w:rPr>
          <w:rFonts w:ascii="Bookman Old Style" w:hAnsi="Bookman Old Style"/>
        </w:rPr>
        <w:t>620 hectáreas destinadas para cultivo de cannabis psicoactivo, para un total de más de 1´109.222 hectáreas, capaces de producir más de 19 millones de empleos.</w:t>
      </w:r>
    </w:p>
    <w:p w14:paraId="7D8E8C16" w14:textId="5F8640D0" w:rsidR="00F36280" w:rsidRPr="00485CC5" w:rsidRDefault="00291DEF"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R</w:t>
      </w:r>
      <w:r w:rsidR="00F36280" w:rsidRPr="00485CC5">
        <w:rPr>
          <w:rFonts w:ascii="Bookman Old Style" w:eastAsia="Calibri" w:hAnsi="Bookman Old Style" w:cs="Calibri"/>
          <w:sz w:val="22"/>
          <w:szCs w:val="24"/>
        </w:rPr>
        <w:t>EGULACIÓN DE ESTUPEFACIENTES EN COLOMBIA: ANÁLISIS CONSTITUCIONAL Y LEGAL.</w:t>
      </w:r>
    </w:p>
    <w:p w14:paraId="60A12712" w14:textId="77777777" w:rsidR="00F36280" w:rsidRPr="00485CC5" w:rsidRDefault="00F36280" w:rsidP="00F36280">
      <w:pPr>
        <w:rPr>
          <w:rFonts w:ascii="Bookman Old Style" w:eastAsia="Calibri" w:hAnsi="Bookman Old Style"/>
          <w:szCs w:val="24"/>
        </w:rPr>
      </w:pPr>
    </w:p>
    <w:p w14:paraId="2164B9C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3037D1C6" w14:textId="77777777" w:rsidR="00F36280" w:rsidRPr="00485CC5" w:rsidRDefault="00F36280" w:rsidP="00F36280">
      <w:pPr>
        <w:jc w:val="both"/>
        <w:rPr>
          <w:rFonts w:ascii="Bookman Old Style" w:eastAsia="Calibri" w:hAnsi="Bookman Old Style" w:cs="Calibri"/>
          <w:szCs w:val="24"/>
        </w:rPr>
      </w:pPr>
    </w:p>
    <w:p w14:paraId="68776188"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6E59EFC" w14:textId="77777777" w:rsidR="00F36280" w:rsidRPr="00485CC5" w:rsidRDefault="00F36280" w:rsidP="00F36280">
      <w:pPr>
        <w:jc w:val="both"/>
        <w:rPr>
          <w:rFonts w:ascii="Bookman Old Style" w:eastAsia="Calibri" w:hAnsi="Bookman Old Style" w:cs="Calibri"/>
          <w:szCs w:val="24"/>
          <w:lang w:val="es-ES_tradnl"/>
        </w:rPr>
      </w:pPr>
    </w:p>
    <w:p w14:paraId="7210F7B2" w14:textId="4F8488A4"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sidR="00A20BDA">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14:paraId="0FFB52D1" w14:textId="77777777" w:rsidR="00F36280" w:rsidRPr="00485CC5" w:rsidRDefault="00F36280" w:rsidP="00F36280">
      <w:pPr>
        <w:jc w:val="both"/>
        <w:rPr>
          <w:rFonts w:ascii="Bookman Old Style" w:eastAsia="Calibri" w:hAnsi="Bookman Old Style" w:cs="Calibri"/>
          <w:szCs w:val="24"/>
          <w:lang w:val="es-ES_tradnl"/>
        </w:rPr>
      </w:pPr>
    </w:p>
    <w:p w14:paraId="37A4C5D0"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14:paraId="474584A5" w14:textId="77777777" w:rsidR="00F36280" w:rsidRPr="00485CC5" w:rsidRDefault="00F36280" w:rsidP="00F36280">
      <w:pPr>
        <w:jc w:val="both"/>
        <w:rPr>
          <w:rFonts w:ascii="Bookman Old Style" w:eastAsia="Calibri" w:hAnsi="Bookman Old Style" w:cs="Calibri"/>
          <w:bCs/>
          <w:i/>
          <w:iCs/>
          <w:szCs w:val="24"/>
          <w:lang w:val="es-ES_tradnl"/>
        </w:rPr>
      </w:pPr>
    </w:p>
    <w:p w14:paraId="55202756" w14:textId="6272281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4D91E588" w14:textId="77777777" w:rsidR="00F36280" w:rsidRPr="00485CC5" w:rsidRDefault="00F36280" w:rsidP="00F36280">
      <w:pPr>
        <w:pStyle w:val="Ttulo2"/>
        <w:ind w:left="0"/>
        <w:rPr>
          <w:rFonts w:ascii="Bookman Old Style" w:eastAsia="Calibri" w:hAnsi="Bookman Old Style" w:cs="Calibri"/>
          <w:sz w:val="22"/>
          <w:szCs w:val="24"/>
        </w:rPr>
      </w:pPr>
    </w:p>
    <w:p w14:paraId="711F83B2" w14:textId="3762DA10"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 PROHIBICIÓN VS. DERECHOS FUNDAMENTALES</w:t>
      </w:r>
    </w:p>
    <w:p w14:paraId="610C3614" w14:textId="77777777" w:rsidR="00F36280" w:rsidRPr="00485CC5" w:rsidRDefault="00F36280" w:rsidP="00F36280">
      <w:pPr>
        <w:jc w:val="both"/>
        <w:rPr>
          <w:rFonts w:ascii="Bookman Old Style" w:eastAsia="Calibri" w:hAnsi="Bookman Old Style" w:cs="Calibri"/>
          <w:szCs w:val="24"/>
        </w:rPr>
      </w:pPr>
    </w:p>
    <w:p w14:paraId="2C83853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4C99802B" w14:textId="77777777" w:rsidR="00F36280" w:rsidRPr="00485CC5" w:rsidRDefault="00F36280" w:rsidP="00F36280">
      <w:pPr>
        <w:pStyle w:val="Ttulo2"/>
        <w:ind w:left="0"/>
        <w:rPr>
          <w:rFonts w:ascii="Bookman Old Style" w:eastAsia="Calibri" w:hAnsi="Bookman Old Style" w:cs="Calibri"/>
          <w:sz w:val="22"/>
          <w:szCs w:val="24"/>
        </w:rPr>
      </w:pPr>
    </w:p>
    <w:p w14:paraId="37D6C385" w14:textId="5198B9D4"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.1.1. DERECHO AL LIBRE DESARROLLO DE LA PERSONALIDAD</w:t>
      </w:r>
    </w:p>
    <w:p w14:paraId="45178D3F" w14:textId="77777777" w:rsidR="00F36280" w:rsidRPr="00485CC5" w:rsidRDefault="00F36280" w:rsidP="00F36280">
      <w:pPr>
        <w:jc w:val="both"/>
        <w:rPr>
          <w:rFonts w:ascii="Bookman Old Style" w:eastAsia="Calibri" w:hAnsi="Bookman Old Style" w:cs="Calibri"/>
          <w:szCs w:val="24"/>
        </w:rPr>
      </w:pPr>
    </w:p>
    <w:p w14:paraId="3392921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18FC2F6A" w14:textId="77777777" w:rsidR="00F36280" w:rsidRPr="00485CC5" w:rsidRDefault="00F36280" w:rsidP="00F36280">
      <w:pPr>
        <w:jc w:val="both"/>
        <w:rPr>
          <w:rFonts w:ascii="Bookman Old Style" w:eastAsia="Calibri" w:hAnsi="Bookman Old Style" w:cs="Calibri"/>
          <w:szCs w:val="24"/>
          <w:lang w:val="es-ES_tradnl"/>
        </w:rPr>
      </w:pPr>
    </w:p>
    <w:p w14:paraId="1DB3B6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14:paraId="127D452B" w14:textId="77777777" w:rsidR="00F36280" w:rsidRPr="00485CC5" w:rsidRDefault="00F36280" w:rsidP="00F36280">
      <w:pPr>
        <w:jc w:val="both"/>
        <w:rPr>
          <w:rFonts w:ascii="Bookman Old Style" w:eastAsia="Calibri" w:hAnsi="Bookman Old Style" w:cs="Calibri"/>
          <w:szCs w:val="24"/>
          <w:lang w:val="es-ES_tradnl"/>
        </w:rPr>
      </w:pPr>
    </w:p>
    <w:p w14:paraId="6AD33665" w14:textId="07BCFF2E"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sidR="00E60301">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14:paraId="43DAAE3D"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75B233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3E62D2A4" w14:textId="77777777" w:rsidR="00F36280" w:rsidRPr="00485CC5" w:rsidRDefault="00F36280" w:rsidP="00F36280">
      <w:pPr>
        <w:jc w:val="both"/>
        <w:rPr>
          <w:rFonts w:ascii="Bookman Old Style" w:eastAsia="Calibri" w:hAnsi="Bookman Old Style" w:cs="Calibri"/>
          <w:szCs w:val="24"/>
          <w:lang w:val="es-ES_tradnl"/>
        </w:rPr>
      </w:pPr>
    </w:p>
    <w:p w14:paraId="7037B95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24CF122F" w14:textId="77777777" w:rsidR="00F36280" w:rsidRPr="00485CC5" w:rsidRDefault="00F36280" w:rsidP="00F36280">
      <w:pPr>
        <w:jc w:val="both"/>
        <w:rPr>
          <w:rFonts w:ascii="Bookman Old Style" w:eastAsia="Calibri" w:hAnsi="Bookman Old Style" w:cs="Calibri"/>
          <w:szCs w:val="24"/>
          <w:lang w:val="es-ES_tradnl"/>
        </w:rPr>
      </w:pPr>
    </w:p>
    <w:p w14:paraId="36F9500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5808DF7" w14:textId="77777777" w:rsidR="00F36280" w:rsidRPr="00485CC5" w:rsidRDefault="00F36280" w:rsidP="00F36280">
      <w:pPr>
        <w:jc w:val="both"/>
        <w:rPr>
          <w:rFonts w:ascii="Bookman Old Style" w:eastAsia="Calibri" w:hAnsi="Bookman Old Style" w:cs="Calibri"/>
          <w:szCs w:val="24"/>
          <w:lang w:val="es-ES_tradnl"/>
        </w:rPr>
      </w:pPr>
    </w:p>
    <w:p w14:paraId="7FD2F9A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14:paraId="5BC022A1" w14:textId="77777777" w:rsidR="00F36280" w:rsidRPr="00485CC5" w:rsidRDefault="00F36280" w:rsidP="00F36280">
      <w:pPr>
        <w:jc w:val="both"/>
        <w:rPr>
          <w:rFonts w:ascii="Bookman Old Style" w:eastAsia="Calibri" w:hAnsi="Bookman Old Style" w:cs="Calibri"/>
          <w:szCs w:val="24"/>
          <w:lang w:val="es-ES_tradnl"/>
        </w:rPr>
      </w:pPr>
    </w:p>
    <w:p w14:paraId="74FD65B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3833CE2F" w14:textId="77777777" w:rsidR="00F36280" w:rsidRPr="00485CC5" w:rsidRDefault="00F36280" w:rsidP="00F36280">
      <w:pPr>
        <w:jc w:val="both"/>
        <w:rPr>
          <w:rFonts w:ascii="Bookman Old Style" w:eastAsia="Calibri" w:hAnsi="Bookman Old Style" w:cs="Calibri"/>
          <w:szCs w:val="24"/>
          <w:lang w:val="es-ES_tradnl"/>
        </w:rPr>
      </w:pPr>
    </w:p>
    <w:p w14:paraId="3679BD9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76BF005" w14:textId="77777777" w:rsidR="00F36280" w:rsidRPr="00485CC5" w:rsidRDefault="00F36280" w:rsidP="00F36280">
      <w:pPr>
        <w:jc w:val="both"/>
        <w:rPr>
          <w:rFonts w:ascii="Bookman Old Style" w:eastAsia="Calibri" w:hAnsi="Bookman Old Style" w:cs="Calibri"/>
          <w:szCs w:val="24"/>
          <w:lang w:val="es-ES_tradnl"/>
        </w:rPr>
      </w:pPr>
    </w:p>
    <w:p w14:paraId="02E3F4A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7E2DF98B" w14:textId="77777777" w:rsidR="00F36280" w:rsidRPr="00485CC5" w:rsidRDefault="00F36280" w:rsidP="00F36280">
      <w:pPr>
        <w:rPr>
          <w:rFonts w:ascii="Bookman Old Style" w:eastAsia="Calibri" w:hAnsi="Bookman Old Style"/>
          <w:szCs w:val="24"/>
          <w:lang w:val="es-ES_tradnl"/>
        </w:rPr>
      </w:pPr>
    </w:p>
    <w:p w14:paraId="44CB36E5" w14:textId="74CACDE8"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.1.2. DERECHO A LA IGUALDAD</w:t>
      </w:r>
    </w:p>
    <w:p w14:paraId="4305C13D" w14:textId="77777777" w:rsidR="00F36280" w:rsidRPr="00485CC5" w:rsidRDefault="00F36280" w:rsidP="00F36280">
      <w:pPr>
        <w:jc w:val="both"/>
        <w:rPr>
          <w:rFonts w:ascii="Bookman Old Style" w:eastAsia="Calibri" w:hAnsi="Bookman Old Style" w:cs="Calibri"/>
          <w:szCs w:val="24"/>
          <w:lang w:val="es-ES_tradnl"/>
        </w:rPr>
      </w:pPr>
    </w:p>
    <w:p w14:paraId="4ED317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14:paraId="13274787" w14:textId="77777777" w:rsidR="00F36280" w:rsidRPr="00485CC5" w:rsidRDefault="00F36280" w:rsidP="00F36280">
      <w:pPr>
        <w:jc w:val="both"/>
        <w:rPr>
          <w:rFonts w:ascii="Bookman Old Style" w:eastAsia="Calibri" w:hAnsi="Bookman Old Style" w:cs="Calibri"/>
          <w:szCs w:val="24"/>
          <w:lang w:val="es-ES_tradnl"/>
        </w:rPr>
      </w:pPr>
    </w:p>
    <w:p w14:paraId="64EFD3AB"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5F9827DA"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6B3DC32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B7419F7"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7014E322" w14:textId="77777777"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14:paraId="6C5A775A" w14:textId="77777777" w:rsidR="00F36280" w:rsidRPr="00485CC5" w:rsidRDefault="00F36280" w:rsidP="00F36280">
      <w:pPr>
        <w:jc w:val="both"/>
        <w:rPr>
          <w:rFonts w:ascii="Bookman Old Style" w:eastAsia="Calibri" w:hAnsi="Bookman Old Style" w:cs="Calibri"/>
          <w:i/>
          <w:szCs w:val="24"/>
          <w:lang w:val="es-ES_tradnl"/>
        </w:rPr>
      </w:pPr>
    </w:p>
    <w:p w14:paraId="65A196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3057EC3" w14:textId="77777777" w:rsidR="00F36280" w:rsidRPr="00485CC5" w:rsidRDefault="00F36280" w:rsidP="009B3FAF">
      <w:pPr>
        <w:ind w:left="851" w:hanging="283"/>
        <w:jc w:val="both"/>
        <w:rPr>
          <w:rFonts w:ascii="Bookman Old Style" w:eastAsia="Calibri" w:hAnsi="Bookman Old Style" w:cs="Calibri"/>
          <w:szCs w:val="24"/>
          <w:lang w:val="es-ES_tradnl"/>
        </w:rPr>
      </w:pPr>
    </w:p>
    <w:p w14:paraId="04DCA7C1"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201C5156" w14:textId="77777777" w:rsidR="00F36280" w:rsidRPr="00485CC5" w:rsidRDefault="00F36280" w:rsidP="009B3FAF">
      <w:pPr>
        <w:jc w:val="both"/>
        <w:rPr>
          <w:rFonts w:ascii="Bookman Old Style" w:hAnsi="Bookman Old Style" w:cs="Calibri"/>
          <w:szCs w:val="24"/>
          <w:lang w:val="es-ES_tradnl"/>
        </w:rPr>
      </w:pPr>
    </w:p>
    <w:p w14:paraId="79691FE1"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50F8EEEA" w14:textId="77777777" w:rsidR="00F36280" w:rsidRPr="00485CC5" w:rsidRDefault="00F36280" w:rsidP="009B3FAF">
      <w:pPr>
        <w:ind w:left="568"/>
        <w:jc w:val="both"/>
        <w:rPr>
          <w:rFonts w:ascii="Bookman Old Style" w:hAnsi="Bookman Old Style" w:cs="Calibri"/>
          <w:szCs w:val="24"/>
          <w:lang w:val="es-ES_tradnl"/>
        </w:rPr>
      </w:pPr>
    </w:p>
    <w:p w14:paraId="78F26617"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6436D74" w14:textId="77777777" w:rsidR="00F36280" w:rsidRPr="00485CC5" w:rsidRDefault="00F36280" w:rsidP="001D5D7C">
      <w:pPr>
        <w:jc w:val="both"/>
        <w:rPr>
          <w:rFonts w:ascii="Bookman Old Style" w:hAnsi="Bookman Old Style" w:cs="Calibri"/>
          <w:szCs w:val="24"/>
          <w:lang w:val="es-ES_tradnl"/>
        </w:rPr>
      </w:pPr>
    </w:p>
    <w:p w14:paraId="63CAC099" w14:textId="77777777" w:rsidR="00F36280" w:rsidRPr="00621929" w:rsidRDefault="00F36280" w:rsidP="001D5D7C">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14:paraId="744B9607" w14:textId="77777777" w:rsidR="00F36280" w:rsidRPr="00485CC5" w:rsidRDefault="00F36280" w:rsidP="009B3FAF">
      <w:pPr>
        <w:jc w:val="both"/>
        <w:rPr>
          <w:rFonts w:ascii="Bookman Old Style" w:eastAsia="Calibri" w:hAnsi="Bookman Old Style" w:cs="Calibri"/>
          <w:szCs w:val="24"/>
          <w:lang w:val="es-ES_tradnl"/>
        </w:rPr>
      </w:pPr>
    </w:p>
    <w:p w14:paraId="12C792B1" w14:textId="673FF73A"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sidR="00E60301">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inexequibilidad de las disposiciones que penalizaban la dosis personal fue que </w:t>
      </w:r>
      <w:r w:rsidR="00E60301">
        <w:rPr>
          <w:rFonts w:ascii="Bookman Old Style" w:eastAsia="Calibri" w:hAnsi="Bookman Old Style" w:cs="Calibri"/>
          <w:szCs w:val="24"/>
          <w:lang w:val="es-ES_tradnl"/>
        </w:rPr>
        <w:t>la</w:t>
      </w:r>
      <w:r w:rsidR="00E60301" w:rsidRPr="00485CC5">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0D53456E" w14:textId="77777777" w:rsidR="00F36280" w:rsidRPr="00485CC5" w:rsidRDefault="00F36280" w:rsidP="00F36280">
      <w:pPr>
        <w:jc w:val="both"/>
        <w:rPr>
          <w:rFonts w:ascii="Bookman Old Style" w:eastAsia="Calibri" w:hAnsi="Bookman Old Style" w:cs="Calibri"/>
          <w:b/>
          <w:i/>
          <w:szCs w:val="24"/>
          <w:lang w:val="es-ES_tradnl"/>
        </w:rPr>
      </w:pPr>
    </w:p>
    <w:p w14:paraId="4E9B381E" w14:textId="6F11F33A" w:rsidR="00F36280" w:rsidRPr="00485CC5" w:rsidRDefault="008D6C03"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.1.3. DERECHO A LA SALUD.</w:t>
      </w:r>
    </w:p>
    <w:p w14:paraId="33C4C8B7" w14:textId="77777777" w:rsidR="00F36280" w:rsidRPr="00485CC5" w:rsidRDefault="00F36280" w:rsidP="00F36280">
      <w:pPr>
        <w:jc w:val="both"/>
        <w:rPr>
          <w:rFonts w:ascii="Bookman Old Style" w:eastAsia="Calibri" w:hAnsi="Bookman Old Style" w:cs="Calibri"/>
          <w:b/>
          <w:szCs w:val="24"/>
          <w:lang w:val="es-ES_tradnl"/>
        </w:rPr>
      </w:pPr>
    </w:p>
    <w:p w14:paraId="12FCDC60"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099F0726" w14:textId="77777777" w:rsidR="00517032" w:rsidRPr="00BA2C74" w:rsidRDefault="00517032" w:rsidP="00517032">
      <w:pPr>
        <w:jc w:val="both"/>
        <w:rPr>
          <w:rFonts w:ascii="Bookman Old Style" w:eastAsia="Calibri" w:hAnsi="Bookman Old Style" w:cs="Calibri"/>
          <w:lang w:val="es-ES_tradnl"/>
        </w:rPr>
      </w:pPr>
    </w:p>
    <w:p w14:paraId="34E2001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5D2A508A" w14:textId="77777777" w:rsidR="00517032" w:rsidRPr="00BA2C74" w:rsidRDefault="00517032" w:rsidP="00517032">
      <w:pPr>
        <w:jc w:val="both"/>
        <w:rPr>
          <w:rFonts w:ascii="Bookman Old Style" w:eastAsia="Calibri" w:hAnsi="Bookman Old Style" w:cs="Calibri"/>
          <w:lang w:val="es-ES_tradnl"/>
        </w:rPr>
      </w:pPr>
    </w:p>
    <w:p w14:paraId="3B60A456"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58D47CB" w14:textId="77777777" w:rsidR="00517032" w:rsidRPr="00BA2C74" w:rsidRDefault="00517032" w:rsidP="00517032">
      <w:pPr>
        <w:jc w:val="both"/>
        <w:rPr>
          <w:rFonts w:ascii="Bookman Old Style" w:eastAsia="Calibri" w:hAnsi="Bookman Old Style" w:cs="Calibri"/>
          <w:lang w:val="es-ES_tradnl"/>
        </w:rPr>
      </w:pPr>
    </w:p>
    <w:p w14:paraId="1807F45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No obstante, a través de amplia jurisprudencia, la Corte Constitucional consolidó 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14:paraId="04356CED" w14:textId="77777777" w:rsidR="00517032" w:rsidRPr="00BA2C74" w:rsidRDefault="00517032" w:rsidP="00517032">
      <w:pPr>
        <w:jc w:val="both"/>
        <w:rPr>
          <w:rFonts w:ascii="Bookman Old Style" w:eastAsia="Calibri" w:hAnsi="Bookman Old Style" w:cs="Calibri"/>
          <w:lang w:val="es-ES_tradnl"/>
        </w:rPr>
      </w:pPr>
    </w:p>
    <w:p w14:paraId="10A05FDF"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738AA216" w14:textId="77777777" w:rsidR="00517032" w:rsidRPr="00BA2C74" w:rsidRDefault="00517032" w:rsidP="00517032">
      <w:pPr>
        <w:jc w:val="both"/>
        <w:rPr>
          <w:rFonts w:ascii="Bookman Old Style" w:eastAsia="Calibri" w:hAnsi="Bookman Old Style" w:cs="Calibri"/>
          <w:lang w:val="es-ES_tradnl"/>
        </w:rPr>
      </w:pPr>
    </w:p>
    <w:p w14:paraId="2879090D"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14:paraId="465CF04B" w14:textId="77777777" w:rsidR="00517032" w:rsidRPr="00BA2C74" w:rsidRDefault="00517032" w:rsidP="00517032">
      <w:pPr>
        <w:jc w:val="both"/>
        <w:rPr>
          <w:rFonts w:ascii="Bookman Old Style" w:eastAsia="Calibri" w:hAnsi="Bookman Old Style" w:cs="Calibri"/>
          <w:b/>
          <w:i/>
          <w:lang w:val="es-ES_tradnl"/>
        </w:rPr>
      </w:pPr>
    </w:p>
    <w:p w14:paraId="767B4C6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732EFF7B" w14:textId="77777777" w:rsidR="00517032" w:rsidRPr="00BA2C74" w:rsidRDefault="00517032" w:rsidP="00517032">
      <w:pPr>
        <w:jc w:val="both"/>
        <w:rPr>
          <w:rFonts w:ascii="Bookman Old Style" w:eastAsia="Calibri" w:hAnsi="Bookman Old Style" w:cs="Calibri"/>
          <w:lang w:val="es-ES_tradnl"/>
        </w:rPr>
      </w:pPr>
    </w:p>
    <w:p w14:paraId="6D0BF975"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F6DED5E"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p>
    <w:p w14:paraId="373836B2"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29714C6" w14:textId="77777777" w:rsidR="00517032" w:rsidRPr="00BA2C74" w:rsidRDefault="00517032" w:rsidP="00517032">
      <w:pPr>
        <w:ind w:left="720" w:right="900"/>
        <w:jc w:val="both"/>
        <w:rPr>
          <w:rFonts w:ascii="Bookman Old Style" w:eastAsia="Calibri" w:hAnsi="Bookman Old Style" w:cs="Calibri"/>
          <w:i/>
          <w:lang w:val="es-ES_tradnl"/>
        </w:rPr>
      </w:pPr>
    </w:p>
    <w:p w14:paraId="790495B1" w14:textId="77777777" w:rsidR="00517032" w:rsidRPr="00BA2C74" w:rsidRDefault="00517032" w:rsidP="00517032">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42802C7" w14:textId="77777777" w:rsidR="00F36280" w:rsidRPr="00485CC5" w:rsidRDefault="00F36280" w:rsidP="00F36280">
      <w:pPr>
        <w:jc w:val="both"/>
        <w:rPr>
          <w:rFonts w:ascii="Bookman Old Style" w:eastAsia="Calibri" w:hAnsi="Bookman Old Style" w:cs="Calibri"/>
          <w:szCs w:val="24"/>
        </w:rPr>
      </w:pPr>
    </w:p>
    <w:p w14:paraId="7DFF57D2" w14:textId="6A75E15A" w:rsidR="00F36280" w:rsidRPr="00485CC5" w:rsidRDefault="008D6C03"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47D8FC3A" w14:textId="77777777" w:rsidR="00F36280" w:rsidRPr="00485CC5" w:rsidRDefault="00F36280" w:rsidP="00F36280">
      <w:pPr>
        <w:jc w:val="both"/>
        <w:rPr>
          <w:rFonts w:ascii="Bookman Old Style" w:eastAsia="Calibri" w:hAnsi="Bookman Old Style" w:cs="Calibri"/>
          <w:b/>
          <w:szCs w:val="24"/>
        </w:rPr>
      </w:pPr>
    </w:p>
    <w:p w14:paraId="6A5112B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4347C18F" w14:textId="77777777" w:rsidR="00F36280" w:rsidRPr="00485CC5" w:rsidRDefault="00F36280" w:rsidP="00F36280">
      <w:pPr>
        <w:jc w:val="both"/>
        <w:rPr>
          <w:rFonts w:ascii="Bookman Old Style" w:eastAsia="Calibri" w:hAnsi="Bookman Old Style" w:cs="Calibri"/>
          <w:szCs w:val="24"/>
          <w:lang w:val="es-ES_tradnl"/>
        </w:rPr>
      </w:pPr>
    </w:p>
    <w:p w14:paraId="32D964F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14:paraId="59022ACB" w14:textId="77777777" w:rsidR="00F36280" w:rsidRPr="00485CC5" w:rsidRDefault="00F36280" w:rsidP="00F36280">
      <w:pPr>
        <w:jc w:val="both"/>
        <w:rPr>
          <w:rFonts w:ascii="Bookman Old Style" w:eastAsia="Calibri" w:hAnsi="Bookman Old Style" w:cs="Calibri"/>
          <w:szCs w:val="24"/>
          <w:lang w:val="es-ES_tradnl"/>
        </w:rPr>
      </w:pPr>
    </w:p>
    <w:p w14:paraId="4330A542"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3C40A3F4" w14:textId="77777777" w:rsidR="00F36280" w:rsidRPr="00485CC5" w:rsidRDefault="00F36280" w:rsidP="00F36280">
      <w:pPr>
        <w:jc w:val="both"/>
        <w:rPr>
          <w:rFonts w:ascii="Bookman Old Style" w:eastAsia="Calibri" w:hAnsi="Bookman Old Style" w:cs="Calibri"/>
          <w:szCs w:val="24"/>
        </w:rPr>
      </w:pPr>
    </w:p>
    <w:p w14:paraId="100D8049" w14:textId="7BB1AE29"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0FF21E5" w14:textId="77777777" w:rsidR="00F36280" w:rsidRPr="00485CC5" w:rsidRDefault="00F36280" w:rsidP="00F36280">
      <w:pPr>
        <w:jc w:val="both"/>
        <w:rPr>
          <w:rFonts w:ascii="Bookman Old Style" w:eastAsia="Calibri" w:hAnsi="Bookman Old Style" w:cs="Calibri"/>
          <w:szCs w:val="24"/>
        </w:rPr>
      </w:pPr>
    </w:p>
    <w:p w14:paraId="06C442EF" w14:textId="0E270BE0" w:rsidR="00F36280" w:rsidRPr="00485CC5" w:rsidRDefault="0059124F"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32487E4D" w14:textId="77777777" w:rsidR="00F36280" w:rsidRPr="00485CC5" w:rsidRDefault="00F36280" w:rsidP="00F36280">
      <w:pPr>
        <w:jc w:val="both"/>
        <w:rPr>
          <w:rFonts w:ascii="Bookman Old Style" w:eastAsia="Calibri" w:hAnsi="Bookman Old Style" w:cs="Calibri"/>
          <w:szCs w:val="24"/>
          <w:lang w:val="es-ES_tradnl"/>
        </w:rPr>
      </w:pPr>
    </w:p>
    <w:p w14:paraId="222221A6" w14:textId="537656F6" w:rsidR="00F36280"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7DF2EA90" w14:textId="6B1D964A" w:rsidR="007F6FA2" w:rsidRDefault="007F6FA2" w:rsidP="00F36280">
      <w:pPr>
        <w:jc w:val="both"/>
        <w:rPr>
          <w:rFonts w:ascii="Bookman Old Style" w:eastAsia="Calibri" w:hAnsi="Bookman Old Style" w:cs="Calibri"/>
          <w:szCs w:val="24"/>
          <w:lang w:val="es-ES_tradnl"/>
        </w:rPr>
      </w:pPr>
    </w:p>
    <w:p w14:paraId="691B7803" w14:textId="3831EDD5" w:rsidR="007F6FA2" w:rsidRPr="007F6FA2" w:rsidRDefault="007F6FA2" w:rsidP="00F36280">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prohibicionista ha estado sustentada en gran parte en la creencia que el consumo no medicinal de cannabis es una gran amenaza contra la salud pública. Sin embargo, en este proceso hemos llegado a entender que definitivamente no </w:t>
      </w:r>
      <w:r w:rsidR="00E60301">
        <w:rPr>
          <w:rFonts w:ascii="Bookman Old Style" w:eastAsia="Calibri" w:hAnsi="Bookman Old Style" w:cs="Calibri"/>
          <w:lang w:val="es-ES_tradnl"/>
        </w:rPr>
        <w:t>podrá haber un</w:t>
      </w:r>
      <w:r w:rsidR="00E60301" w:rsidRPr="00B10001">
        <w:rPr>
          <w:rFonts w:ascii="Bookman Old Style" w:eastAsia="Calibri" w:hAnsi="Bookman Old Style" w:cs="Calibri"/>
          <w:lang w:val="es-ES_tradnl"/>
        </w:rPr>
        <w:t xml:space="preserve"> </w:t>
      </w:r>
      <w:r w:rsidRPr="00B10001">
        <w:rPr>
          <w:rFonts w:ascii="Bookman Old Style" w:eastAsia="Calibri" w:hAnsi="Bookman Old Style" w:cs="Calibri"/>
          <w:lang w:val="es-ES_tradnl"/>
        </w:rPr>
        <w:t>cambio de paradigma si no se despejan las dudas que</w:t>
      </w:r>
      <w:r w:rsidR="00E60301">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14:paraId="12719055" w14:textId="03C0C242" w:rsidR="00F36280" w:rsidRDefault="00F36280" w:rsidP="00F36280">
      <w:pPr>
        <w:jc w:val="both"/>
        <w:rPr>
          <w:rFonts w:ascii="Bookman Old Style" w:eastAsia="Calibri" w:hAnsi="Bookman Old Style" w:cs="Calibri"/>
          <w:szCs w:val="24"/>
          <w:lang w:val="es-ES_tradnl"/>
        </w:rPr>
      </w:pPr>
    </w:p>
    <w:p w14:paraId="14E90637" w14:textId="7FAB0C2C" w:rsidR="0090168D" w:rsidRDefault="0090168D"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sidR="000F7EA5">
        <w:rPr>
          <w:rFonts w:ascii="Bookman Old Style" w:eastAsia="Calibri" w:hAnsi="Bookman Old Style" w:cs="Calibri"/>
          <w:b/>
          <w:szCs w:val="24"/>
        </w:rPr>
        <w:t>FRENTE AL D</w:t>
      </w:r>
      <w:r w:rsidR="00176820">
        <w:rPr>
          <w:rFonts w:ascii="Bookman Old Style" w:eastAsia="Calibri" w:hAnsi="Bookman Old Style" w:cs="Calibri"/>
          <w:b/>
          <w:szCs w:val="24"/>
        </w:rPr>
        <w:t>AÑO A</w:t>
      </w:r>
      <w:r w:rsidR="000F7EA5">
        <w:rPr>
          <w:rFonts w:ascii="Bookman Old Style" w:eastAsia="Calibri" w:hAnsi="Bookman Old Style" w:cs="Calibri"/>
          <w:b/>
          <w:szCs w:val="24"/>
        </w:rPr>
        <w:t>L CONSUMIDOR</w:t>
      </w:r>
      <w:r w:rsidRPr="00485CC5">
        <w:rPr>
          <w:rFonts w:ascii="Bookman Old Style" w:eastAsia="Calibri" w:hAnsi="Bookman Old Style" w:cs="Calibri"/>
          <w:b/>
          <w:szCs w:val="24"/>
        </w:rPr>
        <w:t>.</w:t>
      </w:r>
    </w:p>
    <w:p w14:paraId="5FFF027F" w14:textId="77777777" w:rsidR="00AC7FB2" w:rsidRPr="00AC7FB2" w:rsidRDefault="00AC7FB2" w:rsidP="00F36280">
      <w:pPr>
        <w:jc w:val="both"/>
        <w:rPr>
          <w:rFonts w:ascii="Bookman Old Style" w:eastAsia="Calibri" w:hAnsi="Bookman Old Style" w:cs="Calibri"/>
          <w:b/>
          <w:szCs w:val="24"/>
        </w:rPr>
      </w:pPr>
    </w:p>
    <w:p w14:paraId="7586EDC3" w14:textId="260A7EDD" w:rsidR="00F36280"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7"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2F713BA9" w14:textId="77777777" w:rsidR="00E606C3" w:rsidRPr="00485CC5" w:rsidRDefault="00E606C3" w:rsidP="00F36280">
      <w:pPr>
        <w:widowControl/>
        <w:shd w:val="clear" w:color="auto" w:fill="FFFFFF"/>
        <w:jc w:val="both"/>
        <w:rPr>
          <w:rFonts w:ascii="Bookman Old Style" w:hAnsi="Bookman Old Style"/>
          <w:szCs w:val="24"/>
          <w:lang w:val="es-ES_tradnl"/>
        </w:rPr>
      </w:pPr>
    </w:p>
    <w:p w14:paraId="2663FE1D" w14:textId="77777777" w:rsidR="00AC7FB2"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74C963D3" w14:textId="75523B34" w:rsidR="00AC7FB2" w:rsidRPr="00485CC5" w:rsidRDefault="00F36280" w:rsidP="00E606C3">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75B16708"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EE99003" wp14:editId="1CD0D27E">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31CAA66D" w14:textId="77777777"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5F7BA3" w14:textId="77777777" w:rsidR="00F36280" w:rsidRPr="00485CC5" w:rsidRDefault="00F36280" w:rsidP="00F36280">
      <w:pPr>
        <w:widowControl/>
        <w:shd w:val="clear" w:color="auto" w:fill="FFFFFF"/>
        <w:rPr>
          <w:rFonts w:ascii="Bookman Old Style" w:hAnsi="Bookman Old Style"/>
          <w:i/>
          <w:sz w:val="20"/>
          <w:szCs w:val="24"/>
        </w:rPr>
      </w:pPr>
    </w:p>
    <w:p w14:paraId="0C6B0FF1"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024F447B" w14:textId="77777777" w:rsidR="00F36280" w:rsidRPr="00485CC5" w:rsidRDefault="00F36280" w:rsidP="00F36280">
      <w:pPr>
        <w:widowControl/>
        <w:shd w:val="clear" w:color="auto" w:fill="FFFFFF"/>
        <w:rPr>
          <w:rFonts w:ascii="Bookman Old Style" w:hAnsi="Bookman Old Style"/>
          <w:i/>
          <w:sz w:val="20"/>
          <w:szCs w:val="24"/>
        </w:rPr>
      </w:pPr>
    </w:p>
    <w:p w14:paraId="484A9582" w14:textId="77777777" w:rsidR="002722F9"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3602D171" w14:textId="530D823F"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25299CB8"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B081EC4" wp14:editId="4379856D">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612130" cy="2990850"/>
                    </a:xfrm>
                    <a:prstGeom prst="rect">
                      <a:avLst/>
                    </a:prstGeom>
                  </pic:spPr>
                </pic:pic>
              </a:graphicData>
            </a:graphic>
          </wp:inline>
        </w:drawing>
      </w:r>
    </w:p>
    <w:p w14:paraId="486DFFF5"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F012DED" w14:textId="77777777" w:rsidR="00F36280" w:rsidRPr="00485CC5" w:rsidRDefault="00F36280" w:rsidP="00F36280">
      <w:pPr>
        <w:jc w:val="both"/>
        <w:rPr>
          <w:rFonts w:ascii="Bookman Old Style" w:eastAsia="Calibri" w:hAnsi="Bookman Old Style" w:cs="Calibri"/>
          <w:szCs w:val="24"/>
          <w:lang w:val="es-ES_tradnl"/>
        </w:rPr>
      </w:pPr>
    </w:p>
    <w:p w14:paraId="2B4BA15C" w14:textId="011788DC"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sidR="00070BD9">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sidR="00070BD9">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14:paraId="0F7A0C1C"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F5547DD" w14:textId="77777777" w:rsidR="00ED3ACD" w:rsidRPr="00B10001" w:rsidRDefault="00ED3ACD" w:rsidP="00ED3AC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14:paraId="75B2B733" w14:textId="77777777" w:rsidR="00ED3ACD" w:rsidRPr="00B10001" w:rsidRDefault="00ED3ACD" w:rsidP="00ED3ACD">
      <w:pPr>
        <w:shd w:val="clear" w:color="auto" w:fill="FFFFFF"/>
        <w:jc w:val="both"/>
        <w:rPr>
          <w:rFonts w:ascii="Bookman Old Style" w:hAnsi="Bookman Old Style"/>
          <w:lang w:val="es-ES_tradnl"/>
        </w:rPr>
      </w:pPr>
    </w:p>
    <w:p w14:paraId="338EE4E0" w14:textId="6AC327C1" w:rsidR="00AF4882" w:rsidRDefault="00ED3ACD" w:rsidP="00ED3AC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sidR="00070BD9">
        <w:rPr>
          <w:rFonts w:ascii="Bookman Old Style" w:hAnsi="Bookman Old Style"/>
          <w:lang w:val="es-ES_tradnl"/>
        </w:rPr>
        <w:t>,</w:t>
      </w:r>
      <w:r w:rsidRPr="00B10001">
        <w:rPr>
          <w:rFonts w:ascii="Bookman Old Style" w:hAnsi="Bookman Old Style"/>
          <w:lang w:val="es-ES_tradnl"/>
        </w:rPr>
        <w:t xml:space="preserve"> en la actualidad</w:t>
      </w:r>
      <w:r w:rsidR="00070BD9">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sidR="00070BD9">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14:paraId="2CD99AB9" w14:textId="33116DAB" w:rsidR="00987C6B" w:rsidRDefault="00987C6B" w:rsidP="00ED3ACD">
      <w:pPr>
        <w:widowControl/>
        <w:shd w:val="clear" w:color="auto" w:fill="FFFFFF"/>
        <w:jc w:val="both"/>
        <w:rPr>
          <w:rFonts w:ascii="Bookman Old Style" w:hAnsi="Bookman Old Style"/>
          <w:lang w:val="es-ES_tradnl"/>
        </w:rPr>
      </w:pPr>
    </w:p>
    <w:p w14:paraId="39587592" w14:textId="79476938"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6.2.1.2 FRENTE A LA PROBABILIDAD DE DESARROLLAR TRASTORNOS ASOCIADOS AL CONSUMO.</w:t>
      </w:r>
    </w:p>
    <w:p w14:paraId="1BBD3743" w14:textId="6E4390A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04AF4684"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Respecto a la posibilidad de desarrollar trastornos asociados al consumo por cannabis, vale traer a consideración el estudio publicado en por Catalina López, 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14:paraId="5330F20B" w14:textId="77777777" w:rsidR="00AF4882" w:rsidRPr="00B10001" w:rsidRDefault="00AF4882" w:rsidP="00AF4882">
      <w:pPr>
        <w:shd w:val="clear" w:color="auto" w:fill="FFFFFF"/>
        <w:jc w:val="both"/>
        <w:rPr>
          <w:rFonts w:ascii="Bookman Old Style" w:hAnsi="Bookman Old Style"/>
          <w:lang w:val="es-ES_tradnl"/>
        </w:rPr>
      </w:pPr>
    </w:p>
    <w:p w14:paraId="17C283C3" w14:textId="77777777" w:rsidR="00AF4882" w:rsidRPr="00B10001" w:rsidRDefault="00AF4882" w:rsidP="00AF4882">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1C459BAB" w14:textId="77777777" w:rsidR="00AF4882" w:rsidRPr="00B10001" w:rsidRDefault="00AF4882" w:rsidP="00AF4882">
      <w:pPr>
        <w:jc w:val="both"/>
        <w:rPr>
          <w:rFonts w:ascii="Bookman Old Style" w:hAnsi="Bookman Old Style"/>
          <w:lang w:val="es-ES_tradnl"/>
        </w:rPr>
      </w:pPr>
    </w:p>
    <w:p w14:paraId="3111512D" w14:textId="40A76EBC"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14:paraId="584871D3" w14:textId="7777777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11A3465F" w14:textId="44FDD104"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6.2.1.3 FRENTE AL AUMENTO DEL CONSUMO POR REGULACIÓN.</w:t>
      </w:r>
    </w:p>
    <w:p w14:paraId="42A828A5" w14:textId="2F633CC7" w:rsidR="00AF4882" w:rsidRDefault="00AF4882" w:rsidP="00987C6B">
      <w:pPr>
        <w:widowControl/>
        <w:shd w:val="clear" w:color="auto" w:fill="FFFFFF"/>
        <w:jc w:val="both"/>
        <w:rPr>
          <w:rFonts w:ascii="Bookman Old Style" w:eastAsia="Calibri" w:hAnsi="Bookman Old Style" w:cs="Calibri"/>
          <w:b/>
          <w:szCs w:val="24"/>
        </w:rPr>
      </w:pPr>
    </w:p>
    <w:p w14:paraId="4D9197C0"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65776C5A" w14:textId="77777777" w:rsidR="00AF4882" w:rsidRPr="00B10001" w:rsidRDefault="00AF4882" w:rsidP="00AF4882">
      <w:pPr>
        <w:shd w:val="clear" w:color="auto" w:fill="FFFFFF"/>
        <w:jc w:val="both"/>
        <w:rPr>
          <w:rFonts w:ascii="Bookman Old Style" w:hAnsi="Bookman Old Style"/>
          <w:lang w:val="es-ES_tradnl"/>
        </w:rPr>
      </w:pPr>
    </w:p>
    <w:p w14:paraId="31849D1A" w14:textId="307D37AA" w:rsidR="00AF4882" w:rsidRPr="00B10001" w:rsidRDefault="00070BD9" w:rsidP="00AF4882">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00AF4882"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00AF4882"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00AF4882" w:rsidRPr="00B10001">
        <w:rPr>
          <w:rStyle w:val="Refdenotaalpie"/>
          <w:rFonts w:ascii="Bookman Old Style" w:hAnsi="Bookman Old Style"/>
          <w:lang w:val="es-ES_tradnl"/>
        </w:rPr>
        <w:footnoteReference w:id="72"/>
      </w:r>
    </w:p>
    <w:p w14:paraId="478BB135" w14:textId="77777777" w:rsidR="00AF4882" w:rsidRPr="00B10001" w:rsidRDefault="00AF4882" w:rsidP="00AF4882">
      <w:pPr>
        <w:shd w:val="clear" w:color="auto" w:fill="FFFFFF"/>
        <w:jc w:val="both"/>
        <w:rPr>
          <w:rFonts w:ascii="Bookman Old Style" w:hAnsi="Bookman Old Style"/>
          <w:lang w:val="es-ES_tradnl"/>
        </w:rPr>
      </w:pPr>
    </w:p>
    <w:p w14:paraId="551A1206" w14:textId="6E7DC710"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sidR="00070BD9">
        <w:rPr>
          <w:rFonts w:ascii="Bookman Old Style" w:hAnsi="Bookman Old Style"/>
          <w:lang w:val="es-ES_tradnl"/>
        </w:rPr>
        <w:t xml:space="preserve">sino </w:t>
      </w:r>
      <w:r w:rsidRPr="00B10001">
        <w:rPr>
          <w:rFonts w:ascii="Bookman Old Style" w:hAnsi="Bookman Old Style"/>
          <w:lang w:val="es-ES_tradnl"/>
        </w:rPr>
        <w:t>todo lo contrario</w:t>
      </w:r>
      <w:r w:rsidR="00070BD9">
        <w:rPr>
          <w:rFonts w:ascii="Bookman Old Style" w:hAnsi="Bookman Old Style"/>
          <w:lang w:val="es-ES_tradnl"/>
        </w:rPr>
        <w:t>: e</w:t>
      </w:r>
      <w:r w:rsidRPr="00B10001">
        <w:rPr>
          <w:rFonts w:ascii="Bookman Old Style" w:hAnsi="Bookman Old Style"/>
          <w:lang w:val="es-ES_tradnl"/>
        </w:rPr>
        <w:t>n Estados Unidos</w:t>
      </w:r>
      <w:r w:rsidR="00070BD9">
        <w:rPr>
          <w:rFonts w:ascii="Bookman Old Style" w:hAnsi="Bookman Old Style"/>
          <w:lang w:val="es-ES_tradnl"/>
        </w:rPr>
        <w:t xml:space="preserve">, por </w:t>
      </w:r>
      <w:r w:rsidR="002548C6">
        <w:rPr>
          <w:rFonts w:ascii="Bookman Old Style" w:hAnsi="Bookman Old Style"/>
          <w:lang w:val="es-ES_tradnl"/>
        </w:rPr>
        <w:t>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De igual 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14:paraId="64324CDD" w14:textId="77777777" w:rsidR="00AF4882" w:rsidRPr="00B10001" w:rsidRDefault="00AF4882" w:rsidP="00AF4882">
      <w:pPr>
        <w:shd w:val="clear" w:color="auto" w:fill="FFFFFF"/>
        <w:jc w:val="both"/>
        <w:rPr>
          <w:rFonts w:ascii="Bookman Old Style" w:hAnsi="Bookman Old Style"/>
          <w:lang w:val="es-ES_tradnl"/>
        </w:rPr>
      </w:pPr>
    </w:p>
    <w:p w14:paraId="78BBAE92" w14:textId="6A4AA3FA" w:rsidR="00AF4882" w:rsidRPr="00B10001" w:rsidRDefault="00AF4882" w:rsidP="00AF4882">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w:t>
      </w:r>
      <w:r w:rsidR="002548C6" w:rsidRPr="00B10001">
        <w:rPr>
          <w:rFonts w:ascii="Bookman Old Style" w:hAnsi="Bookman Old Style"/>
          <w:lang w:val="es-ES_tradnl"/>
        </w:rPr>
        <w:t>Unidos</w:t>
      </w:r>
      <w:r w:rsidRPr="00B10001">
        <w:rPr>
          <w:rFonts w:ascii="Bookman Old Style" w:hAnsi="Bookman Old Style"/>
          <w:lang w:val="es-ES_tradnl"/>
        </w:rPr>
        <w:t xml:space="preserve">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14:paraId="532513A5" w14:textId="77777777" w:rsidR="00AF4882" w:rsidRPr="00B10001" w:rsidRDefault="00AF4882" w:rsidP="00AF4882">
      <w:pPr>
        <w:shd w:val="clear" w:color="auto" w:fill="FFFFFF"/>
        <w:jc w:val="both"/>
        <w:rPr>
          <w:rFonts w:ascii="Bookman Old Style" w:hAnsi="Bookman Old Style"/>
          <w:i/>
          <w:iCs/>
          <w:lang w:val="es-ES_tradnl"/>
        </w:rPr>
      </w:pPr>
    </w:p>
    <w:p w14:paraId="506F7D7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02D97AC" w14:textId="77777777" w:rsidR="00AF4882" w:rsidRPr="00B10001" w:rsidRDefault="00AF4882" w:rsidP="00AF4882">
      <w:pPr>
        <w:shd w:val="clear" w:color="auto" w:fill="FFFFFF"/>
        <w:jc w:val="both"/>
        <w:rPr>
          <w:rFonts w:ascii="Bookman Old Style" w:hAnsi="Bookman Old Style"/>
          <w:lang w:val="es-ES_tradnl"/>
        </w:rPr>
      </w:pPr>
    </w:p>
    <w:p w14:paraId="0D1F77E9" w14:textId="214C63E9" w:rsid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sidR="00070BD9">
        <w:rPr>
          <w:rFonts w:ascii="Bookman Old Style" w:hAnsi="Bookman Old Style"/>
          <w:lang w:val="es-ES_tradnl"/>
        </w:rPr>
        <w:t xml:space="preserve">. </w:t>
      </w:r>
      <w:r w:rsidR="002548C6">
        <w:rPr>
          <w:rFonts w:ascii="Bookman Old Style" w:hAnsi="Bookman Old Style"/>
          <w:lang w:val="es-ES_tradnl"/>
        </w:rPr>
        <w:t xml:space="preserve">Habiendo </w:t>
      </w:r>
      <w:r w:rsidR="002548C6" w:rsidRPr="00B10001">
        <w:rPr>
          <w:rFonts w:ascii="Bookman Old Style" w:hAnsi="Bookman Old Style"/>
          <w:lang w:val="es-ES_tradnl"/>
        </w:rPr>
        <w:t>acuerdo</w:t>
      </w:r>
      <w:r w:rsidRPr="00B10001">
        <w:rPr>
          <w:rFonts w:ascii="Bookman Old Style" w:hAnsi="Bookman Old Style"/>
          <w:lang w:val="es-ES_tradnl"/>
        </w:rPr>
        <w:t xml:space="preserve"> sobre eso, </w:t>
      </w:r>
      <w:r w:rsidR="00070BD9">
        <w:rPr>
          <w:rFonts w:ascii="Bookman Old Style" w:hAnsi="Bookman Old Style"/>
          <w:lang w:val="es-ES_tradnl"/>
        </w:rPr>
        <w:t>es necesario avanzar</w:t>
      </w:r>
      <w:r w:rsidR="00070BD9" w:rsidRPr="00B10001">
        <w:rPr>
          <w:rFonts w:ascii="Bookman Old Style" w:hAnsi="Bookman Old Style"/>
          <w:lang w:val="es-ES_tradnl"/>
        </w:rPr>
        <w:t xml:space="preserve"> </w:t>
      </w:r>
      <w:r w:rsidRPr="00B10001">
        <w:rPr>
          <w:rFonts w:ascii="Bookman Old Style" w:hAnsi="Bookman Old Style"/>
          <w:lang w:val="es-ES_tradnl"/>
        </w:rPr>
        <w:t xml:space="preserve">en la discusión </w:t>
      </w:r>
      <w:r w:rsidR="00070BD9">
        <w:rPr>
          <w:rFonts w:ascii="Bookman Old Style" w:hAnsi="Bookman Old Style"/>
          <w:lang w:val="es-ES_tradnl"/>
        </w:rPr>
        <w:t>acerca de</w:t>
      </w:r>
      <w:r w:rsidR="00070BD9" w:rsidRPr="00B10001">
        <w:rPr>
          <w:rFonts w:ascii="Bookman Old Style" w:hAnsi="Bookman Old Style"/>
          <w:lang w:val="es-ES_tradnl"/>
        </w:rPr>
        <w:t xml:space="preserve"> </w:t>
      </w:r>
      <w:r w:rsidRPr="00B10001">
        <w:rPr>
          <w:rFonts w:ascii="Bookman Old Style" w:hAnsi="Bookman Old Style"/>
          <w:lang w:val="es-ES_tradnl"/>
        </w:rPr>
        <w:t xml:space="preserve">cuál es la mejor forma de hacerlo. </w:t>
      </w:r>
    </w:p>
    <w:p w14:paraId="2660CC01" w14:textId="33EF8FE9" w:rsidR="00070BD9" w:rsidRDefault="00070BD9" w:rsidP="00AF4882">
      <w:pPr>
        <w:shd w:val="clear" w:color="auto" w:fill="FFFFFF"/>
        <w:jc w:val="both"/>
        <w:rPr>
          <w:rFonts w:ascii="Bookman Old Style" w:hAnsi="Bookman Old Style"/>
          <w:lang w:val="es-ES_tradnl"/>
        </w:rPr>
      </w:pPr>
    </w:p>
    <w:p w14:paraId="5C3E26EE" w14:textId="46C15CC8" w:rsidR="00070BD9" w:rsidRPr="00AF4882" w:rsidRDefault="00070BD9" w:rsidP="00AF4882">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14:paraId="5E63A2A3" w14:textId="77777777" w:rsidR="00AF4882" w:rsidRDefault="00AF4882" w:rsidP="00987C6B">
      <w:pPr>
        <w:widowControl/>
        <w:shd w:val="clear" w:color="auto" w:fill="FFFFFF"/>
        <w:jc w:val="both"/>
        <w:rPr>
          <w:rFonts w:ascii="Bookman Old Style" w:eastAsia="Calibri" w:hAnsi="Bookman Old Style" w:cs="Calibri"/>
          <w:b/>
          <w:szCs w:val="24"/>
        </w:rPr>
      </w:pPr>
    </w:p>
    <w:p w14:paraId="3EA91762" w14:textId="482C1663" w:rsidR="00987C6B" w:rsidRPr="00987C6B" w:rsidRDefault="00987C6B" w:rsidP="00987C6B">
      <w:pPr>
        <w:widowControl/>
        <w:shd w:val="clear" w:color="auto" w:fill="FFFFFF"/>
        <w:jc w:val="both"/>
        <w:rPr>
          <w:rFonts w:ascii="Bookman Old Style" w:hAnsi="Bookman Old Style"/>
          <w:b/>
          <w:lang w:val="es-ES_tradnl"/>
        </w:rPr>
      </w:pPr>
      <w:r w:rsidRPr="00987C6B">
        <w:rPr>
          <w:rFonts w:ascii="Bookman Old Style" w:eastAsia="Calibri" w:hAnsi="Bookman Old Style" w:cs="Calibri"/>
          <w:b/>
          <w:szCs w:val="24"/>
        </w:rPr>
        <w:t>6.2.1.4 FRENTE AL AUMENTO DE VIOLENCIA POR CONSUMO DE CANNABIS.</w:t>
      </w:r>
    </w:p>
    <w:p w14:paraId="73369556" w14:textId="71C6B1F2" w:rsidR="00ED3ACD" w:rsidRDefault="00ED3ACD" w:rsidP="00ED3ACD">
      <w:pPr>
        <w:widowControl/>
        <w:shd w:val="clear" w:color="auto" w:fill="FFFFFF"/>
        <w:jc w:val="both"/>
        <w:rPr>
          <w:rFonts w:ascii="Bookman Old Style" w:hAnsi="Bookman Old Style"/>
          <w:lang w:val="es-ES_tradnl"/>
        </w:rPr>
      </w:pPr>
    </w:p>
    <w:p w14:paraId="5C648F9E" w14:textId="3917BB95" w:rsidR="00987C6B" w:rsidRPr="00B10001" w:rsidRDefault="00987C6B" w:rsidP="00987C6B">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sidR="00070BD9">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14:paraId="18E68FD2" w14:textId="77777777" w:rsidR="00987C6B" w:rsidRPr="00B10001" w:rsidRDefault="00987C6B" w:rsidP="00987C6B">
      <w:pPr>
        <w:shd w:val="clear" w:color="auto" w:fill="FFFFFF"/>
        <w:jc w:val="both"/>
        <w:rPr>
          <w:rFonts w:ascii="Bookman Old Style" w:hAnsi="Bookman Old Style"/>
          <w:lang w:val="es-ES_tradnl"/>
        </w:rPr>
      </w:pPr>
    </w:p>
    <w:p w14:paraId="60282296"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14:paraId="7EC3B047" w14:textId="77777777" w:rsidR="00987C6B" w:rsidRPr="00B10001" w:rsidRDefault="00987C6B" w:rsidP="00987C6B">
      <w:pPr>
        <w:jc w:val="both"/>
        <w:rPr>
          <w:rFonts w:ascii="Bookman Old Style" w:hAnsi="Bookman Old Style" w:cs="Arial"/>
          <w:color w:val="000000"/>
          <w:lang w:val="es-ES_tradnl"/>
        </w:rPr>
      </w:pPr>
    </w:p>
    <w:p w14:paraId="344E8130"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14:paraId="42BEEFC5" w14:textId="77777777" w:rsidR="00987C6B" w:rsidRPr="00B10001" w:rsidRDefault="00987C6B" w:rsidP="00987C6B">
      <w:pPr>
        <w:shd w:val="clear" w:color="auto" w:fill="FFFFFF"/>
        <w:jc w:val="both"/>
        <w:rPr>
          <w:rFonts w:ascii="Bookman Old Style" w:hAnsi="Bookman Old Style"/>
          <w:lang w:val="es-ES_tradnl"/>
        </w:rPr>
      </w:pPr>
    </w:p>
    <w:p w14:paraId="32013089" w14:textId="058E60D3" w:rsidR="00987C6B" w:rsidRPr="00B10001" w:rsidRDefault="00987C6B" w:rsidP="00987C6B">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sidR="00C352F6">
        <w:rPr>
          <w:rFonts w:ascii="Bookman Old Style" w:hAnsi="Bookman Old Style"/>
          <w:lang w:val="es-ES_tradnl"/>
        </w:rPr>
        <w:t xml:space="preserve"> ante este escenario límite</w:t>
      </w:r>
      <w:r w:rsidR="00BE7408">
        <w:rPr>
          <w:rFonts w:ascii="Bookman Old Style" w:hAnsi="Bookman Old Style"/>
          <w:lang w:val="es-ES_tradnl"/>
        </w:rPr>
        <w:t>.</w:t>
      </w:r>
    </w:p>
    <w:p w14:paraId="72AFB4AF" w14:textId="77777777" w:rsidR="00987C6B" w:rsidRPr="00B10001" w:rsidRDefault="00987C6B" w:rsidP="00987C6B">
      <w:pPr>
        <w:shd w:val="clear" w:color="auto" w:fill="FFFFFF"/>
        <w:jc w:val="both"/>
        <w:rPr>
          <w:rFonts w:ascii="Bookman Old Style" w:hAnsi="Bookman Old Style"/>
          <w:lang w:val="es-ES_tradnl"/>
        </w:rPr>
      </w:pPr>
    </w:p>
    <w:p w14:paraId="68EF89F4" w14:textId="227DC1F3" w:rsidR="007F6FA2" w:rsidRPr="007F6FA2" w:rsidRDefault="00987C6B" w:rsidP="007F6FA2">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14:paraId="4AF40F12" w14:textId="77777777" w:rsidR="007F6FA2" w:rsidRDefault="007F6FA2" w:rsidP="00ED3ACD">
      <w:pPr>
        <w:widowControl/>
        <w:shd w:val="clear" w:color="auto" w:fill="FFFFFF"/>
        <w:jc w:val="both"/>
        <w:rPr>
          <w:rFonts w:ascii="Bookman Old Style" w:hAnsi="Bookman Old Style"/>
          <w:szCs w:val="24"/>
          <w:lang w:val="es-ES_tradnl"/>
        </w:rPr>
      </w:pPr>
    </w:p>
    <w:p w14:paraId="582F3ECD" w14:textId="488C570B" w:rsidR="00F36280" w:rsidRPr="00987C6B" w:rsidRDefault="00F36280" w:rsidP="00ED3AC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278913E5" w14:textId="77777777" w:rsidR="00F36280" w:rsidRPr="00987C6B" w:rsidRDefault="00F36280" w:rsidP="00F36280">
      <w:pPr>
        <w:widowControl/>
        <w:shd w:val="clear" w:color="auto" w:fill="FFFFFF"/>
        <w:jc w:val="both"/>
        <w:rPr>
          <w:rFonts w:ascii="Bookman Old Style" w:hAnsi="Bookman Old Style"/>
          <w:szCs w:val="24"/>
          <w:lang w:val="es-ES_tradnl"/>
        </w:rPr>
      </w:pPr>
    </w:p>
    <w:p w14:paraId="50CCEE5D" w14:textId="77777777" w:rsidR="00F36280" w:rsidRPr="00987C6B" w:rsidRDefault="00F36280" w:rsidP="00F36280">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14:paraId="60E14C23" w14:textId="77777777" w:rsidR="00F36280" w:rsidRPr="00987C6B" w:rsidRDefault="00F36280" w:rsidP="00F36280">
      <w:pPr>
        <w:widowControl/>
        <w:shd w:val="clear" w:color="auto" w:fill="FFFFFF"/>
        <w:jc w:val="both"/>
        <w:rPr>
          <w:rFonts w:ascii="Bookman Old Style" w:hAnsi="Bookman Old Style"/>
          <w:szCs w:val="24"/>
          <w:lang w:val="es-ES_tradnl"/>
        </w:rPr>
      </w:pPr>
    </w:p>
    <w:p w14:paraId="3E32B933"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14:paraId="3AF7B53D"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p>
    <w:p w14:paraId="4BF0CB96"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6FBF1EF1" w14:textId="77777777" w:rsidR="00F36280" w:rsidRPr="00987C6B" w:rsidRDefault="00F36280" w:rsidP="00F36280">
      <w:pPr>
        <w:jc w:val="both"/>
        <w:rPr>
          <w:rFonts w:ascii="Bookman Old Style" w:eastAsia="Calibri" w:hAnsi="Bookman Old Style" w:cs="Calibri"/>
          <w:szCs w:val="24"/>
          <w:lang w:val="es-ES_tradnl"/>
        </w:rPr>
      </w:pPr>
    </w:p>
    <w:p w14:paraId="12130182"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14:paraId="7E2D98BD" w14:textId="77777777" w:rsidR="00F36280" w:rsidRPr="00987C6B" w:rsidRDefault="00F36280" w:rsidP="00F36280">
      <w:pPr>
        <w:jc w:val="both"/>
        <w:rPr>
          <w:rFonts w:ascii="Bookman Old Style" w:eastAsia="Calibri" w:hAnsi="Bookman Old Style" w:cs="Calibri"/>
          <w:szCs w:val="24"/>
          <w:lang w:val="es-ES_tradnl"/>
        </w:rPr>
      </w:pPr>
    </w:p>
    <w:p w14:paraId="36497390" w14:textId="1932ECFB"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14:paraId="3AE31A2E" w14:textId="77777777" w:rsidR="00F36280" w:rsidRPr="00987C6B" w:rsidRDefault="00F36280" w:rsidP="00F36280">
      <w:pPr>
        <w:jc w:val="both"/>
        <w:rPr>
          <w:rFonts w:ascii="Bookman Old Style" w:eastAsia="Calibri" w:hAnsi="Bookman Old Style" w:cs="Calibri"/>
          <w:szCs w:val="24"/>
          <w:lang w:val="es-ES_tradnl"/>
        </w:rPr>
      </w:pPr>
    </w:p>
    <w:p w14:paraId="35701966" w14:textId="42252B89" w:rsidR="00F36280" w:rsidRPr="00987C6B" w:rsidRDefault="00F36280" w:rsidP="00F36280">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sidR="00B61766">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88B2ADC" w14:textId="77777777" w:rsidR="00F36280" w:rsidRPr="00987C6B" w:rsidRDefault="00F36280" w:rsidP="00F36280">
      <w:pPr>
        <w:jc w:val="both"/>
        <w:rPr>
          <w:rFonts w:ascii="Bookman Old Style" w:eastAsia="Calibri" w:hAnsi="Bookman Old Style" w:cs="Calibri"/>
          <w:szCs w:val="24"/>
          <w:lang w:val="es-ES_tradnl"/>
        </w:rPr>
      </w:pPr>
    </w:p>
    <w:p w14:paraId="7DF7F45D" w14:textId="77777777" w:rsidR="00F36280" w:rsidRPr="00485CC5"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14:paraId="2C6687B3" w14:textId="77777777" w:rsidR="00F36280" w:rsidRPr="00485CC5" w:rsidRDefault="00F36280" w:rsidP="00F36280">
      <w:pPr>
        <w:jc w:val="both"/>
        <w:rPr>
          <w:rFonts w:ascii="Bookman Old Style" w:eastAsia="Calibri" w:hAnsi="Bookman Old Style" w:cs="Calibri"/>
          <w:szCs w:val="24"/>
          <w:lang w:val="es-ES_tradnl"/>
        </w:rPr>
      </w:pPr>
    </w:p>
    <w:p w14:paraId="7470B7DD" w14:textId="7EC68942" w:rsidR="00F36280" w:rsidRPr="001B4F33"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234A9153"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772ACCAC" w14:textId="77777777" w:rsidR="008F2EDE" w:rsidRPr="00B10001" w:rsidRDefault="008F2EDE" w:rsidP="008F2EDE">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3FFACCBC" w14:textId="77777777" w:rsidR="008F2EDE" w:rsidRPr="00B10001" w:rsidRDefault="008F2EDE" w:rsidP="008F2EDE">
      <w:pPr>
        <w:jc w:val="both"/>
        <w:rPr>
          <w:rFonts w:ascii="Bookman Old Style" w:eastAsia="Calibri" w:hAnsi="Bookman Old Style" w:cs="Calibri"/>
          <w:lang w:val="es-ES_tradnl"/>
        </w:rPr>
      </w:pPr>
    </w:p>
    <w:p w14:paraId="138D11A8" w14:textId="77777777"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14:paraId="25EB06D7" w14:textId="77777777" w:rsidR="008F2EDE" w:rsidRPr="008F2EDE" w:rsidRDefault="008F2EDE" w:rsidP="008F2EDE">
      <w:pPr>
        <w:jc w:val="both"/>
        <w:rPr>
          <w:rFonts w:ascii="Bookman Old Style" w:eastAsia="Calibri" w:hAnsi="Bookman Old Style" w:cs="Calibri"/>
          <w:lang w:val="es-ES_tradnl"/>
        </w:rPr>
      </w:pPr>
    </w:p>
    <w:p w14:paraId="44723169" w14:textId="6A87C47E"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14:paraId="6BDE51AC" w14:textId="77777777" w:rsidR="008F2EDE" w:rsidRPr="008F2EDE" w:rsidRDefault="008F2EDE" w:rsidP="008F2EDE">
      <w:pPr>
        <w:jc w:val="both"/>
        <w:rPr>
          <w:rFonts w:ascii="Bookman Old Style" w:eastAsia="Calibri" w:hAnsi="Bookman Old Style" w:cs="Calibri"/>
          <w:lang w:val="es-ES_tradnl"/>
        </w:rPr>
      </w:pPr>
    </w:p>
    <w:p w14:paraId="4AF02D18" w14:textId="48ABA0D8"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14:paraId="7AFEC410" w14:textId="77777777" w:rsidR="008F2EDE" w:rsidRPr="008F2EDE" w:rsidRDefault="008F2EDE" w:rsidP="008F2EDE">
      <w:pPr>
        <w:jc w:val="both"/>
        <w:rPr>
          <w:rFonts w:ascii="Bookman Old Style" w:eastAsia="Calibri" w:hAnsi="Bookman Old Style" w:cs="Calibri"/>
        </w:rPr>
      </w:pPr>
    </w:p>
    <w:p w14:paraId="501FF33C" w14:textId="1AB48B8E" w:rsidR="001B4F33" w:rsidRDefault="008F2EDE" w:rsidP="008F2EDE">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3CF80310" w14:textId="77777777" w:rsidR="008F2EDE" w:rsidRDefault="008F2EDE" w:rsidP="001B4F33">
      <w:pPr>
        <w:jc w:val="both"/>
        <w:rPr>
          <w:rFonts w:ascii="Bookman Old Style" w:eastAsia="Calibri" w:hAnsi="Bookman Old Style" w:cs="Calibri"/>
          <w:szCs w:val="24"/>
          <w:lang w:val="es-ES_tradnl"/>
        </w:rPr>
      </w:pPr>
    </w:p>
    <w:p w14:paraId="74C31771" w14:textId="790B2E31"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7B67314C" w14:textId="77777777" w:rsidR="001B4F33" w:rsidRPr="00AE7B15" w:rsidRDefault="001B4F33" w:rsidP="001B4F33">
      <w:pPr>
        <w:jc w:val="both"/>
        <w:rPr>
          <w:rFonts w:ascii="Bookman Old Style" w:eastAsia="Calibri" w:hAnsi="Bookman Old Style" w:cs="Calibri"/>
          <w:szCs w:val="24"/>
          <w:lang w:val="es-ES_tradnl"/>
        </w:rPr>
      </w:pPr>
    </w:p>
    <w:p w14:paraId="40DB3C80" w14:textId="73AC99B0"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35ACD923" w14:textId="77777777" w:rsidR="001B4F33" w:rsidRPr="00AE7B15" w:rsidRDefault="001B4F33" w:rsidP="001B4F33">
      <w:pPr>
        <w:jc w:val="both"/>
        <w:rPr>
          <w:rFonts w:ascii="Bookman Old Style" w:eastAsia="Calibri" w:hAnsi="Bookman Old Style" w:cs="Calibri"/>
          <w:szCs w:val="24"/>
          <w:lang w:val="es-ES_tradnl"/>
        </w:rPr>
      </w:pPr>
    </w:p>
    <w:p w14:paraId="4312D70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44CEF92F" w14:textId="77777777" w:rsidR="001B4F33" w:rsidRPr="00AE7B15" w:rsidRDefault="001B4F33" w:rsidP="001B4F33">
      <w:pPr>
        <w:jc w:val="both"/>
        <w:rPr>
          <w:rFonts w:ascii="Bookman Old Style" w:eastAsia="Calibri" w:hAnsi="Bookman Old Style" w:cs="Calibri"/>
          <w:szCs w:val="24"/>
          <w:lang w:val="es-ES_tradnl"/>
        </w:rPr>
      </w:pPr>
    </w:p>
    <w:p w14:paraId="533A6647" w14:textId="7E13068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02728258" w14:textId="77777777"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7DFF278E" w14:textId="363A68D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409D7EA1" w14:textId="77777777" w:rsidR="001B4F33" w:rsidRPr="00AE7B15" w:rsidRDefault="001B4F33" w:rsidP="00621929">
      <w:pPr>
        <w:pStyle w:val="Prrafodelista"/>
        <w:jc w:val="both"/>
        <w:rPr>
          <w:rFonts w:ascii="Bookman Old Style" w:eastAsia="Calibri" w:hAnsi="Bookman Old Style" w:cs="Calibri"/>
          <w:szCs w:val="24"/>
          <w:lang w:val="es-ES_tradnl"/>
        </w:rPr>
      </w:pPr>
    </w:p>
    <w:p w14:paraId="750FC39F" w14:textId="77777777"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78D0A27E" w14:textId="7EFCE754"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sidR="00C94B82">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76F6C62A" w14:textId="77777777" w:rsidR="009718AC" w:rsidRDefault="009718AC" w:rsidP="001B4F33">
      <w:pPr>
        <w:jc w:val="both"/>
        <w:rPr>
          <w:rFonts w:ascii="Bookman Old Style" w:eastAsia="Calibri" w:hAnsi="Bookman Old Style" w:cs="Calibri"/>
          <w:szCs w:val="24"/>
          <w:lang w:val="es-ES_tradnl"/>
        </w:rPr>
      </w:pPr>
    </w:p>
    <w:p w14:paraId="741D25FA" w14:textId="28610706"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1D46D73E" w14:textId="77777777" w:rsidR="001B4F33" w:rsidRPr="00AE7B15" w:rsidRDefault="001B4F33" w:rsidP="001B4F33">
      <w:pPr>
        <w:jc w:val="both"/>
        <w:rPr>
          <w:rFonts w:ascii="Bookman Old Style" w:eastAsia="Calibri" w:hAnsi="Bookman Old Style" w:cs="Calibri"/>
          <w:szCs w:val="24"/>
          <w:lang w:val="es-ES_tradnl"/>
        </w:rPr>
      </w:pPr>
    </w:p>
    <w:p w14:paraId="41BC1CE5"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68AD5FF2" w14:textId="77777777" w:rsidR="001B4F33" w:rsidRPr="00AE7B15" w:rsidRDefault="001B4F33" w:rsidP="001B4F33">
      <w:pPr>
        <w:jc w:val="both"/>
        <w:rPr>
          <w:rFonts w:ascii="Bookman Old Style" w:eastAsia="Calibri" w:hAnsi="Bookman Old Style" w:cs="Calibri"/>
          <w:szCs w:val="24"/>
          <w:lang w:val="es-ES_tradnl"/>
        </w:rPr>
      </w:pPr>
    </w:p>
    <w:p w14:paraId="5E46B03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8E20325" w14:textId="77777777" w:rsidR="001B4F33" w:rsidRPr="00AE7B15" w:rsidRDefault="001B4F33" w:rsidP="001B4F33">
      <w:pPr>
        <w:jc w:val="both"/>
        <w:rPr>
          <w:rFonts w:ascii="Bookman Old Style" w:eastAsia="Calibri" w:hAnsi="Bookman Old Style" w:cs="Calibri"/>
          <w:bCs/>
          <w:szCs w:val="24"/>
          <w:lang w:val="es-ES_tradnl"/>
        </w:rPr>
      </w:pPr>
    </w:p>
    <w:p w14:paraId="719F76E2"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DA0B125" w14:textId="77777777" w:rsidR="00F36280" w:rsidRPr="00485CC5" w:rsidRDefault="00F36280" w:rsidP="00F36280">
      <w:pPr>
        <w:jc w:val="both"/>
        <w:rPr>
          <w:rFonts w:ascii="Bookman Old Style" w:eastAsia="Calibri" w:hAnsi="Bookman Old Style" w:cs="Calibri"/>
          <w:szCs w:val="24"/>
          <w:lang w:val="es-ES_tradnl"/>
        </w:rPr>
      </w:pPr>
    </w:p>
    <w:p w14:paraId="68B8816D" w14:textId="6F773F59" w:rsidR="00F36280" w:rsidRPr="00485CC5"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14:paraId="094A1A27" w14:textId="77777777" w:rsidR="00F36280" w:rsidRPr="00485CC5" w:rsidRDefault="00F36280" w:rsidP="00F36280">
      <w:pPr>
        <w:jc w:val="both"/>
        <w:rPr>
          <w:rFonts w:ascii="Bookman Old Style" w:eastAsia="Calibri" w:hAnsi="Bookman Old Style" w:cs="Calibri"/>
          <w:szCs w:val="24"/>
          <w:lang w:val="es-ES_tradnl"/>
        </w:rPr>
      </w:pPr>
    </w:p>
    <w:p w14:paraId="7AD9FEB0" w14:textId="2703F90B" w:rsidR="00F36280" w:rsidRPr="00485CC5" w:rsidRDefault="00B61766" w:rsidP="00F36280">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w:t>
      </w:r>
      <w:r w:rsidR="00F36280" w:rsidRPr="00485CC5">
        <w:rPr>
          <w:rFonts w:ascii="Bookman Old Style" w:eastAsia="Calibri" w:hAnsi="Bookman Old Style" w:cs="Calibri"/>
          <w:szCs w:val="24"/>
          <w:lang w:val="es-ES_tradnl"/>
        </w:rPr>
        <w:t xml:space="preserve">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180CB2CE" w14:textId="77777777" w:rsidR="00F36280" w:rsidRPr="00485CC5" w:rsidRDefault="00F36280" w:rsidP="00F36280">
      <w:pPr>
        <w:jc w:val="both"/>
        <w:rPr>
          <w:rFonts w:ascii="Bookman Old Style" w:eastAsia="Calibri" w:hAnsi="Bookman Old Style" w:cs="Calibri"/>
          <w:szCs w:val="24"/>
          <w:lang w:val="es-ES_tradnl"/>
        </w:rPr>
      </w:pPr>
    </w:p>
    <w:p w14:paraId="3A344EE5" w14:textId="3D337A2B" w:rsidR="00F36280" w:rsidRPr="00485CC5" w:rsidRDefault="00B61766" w:rsidP="00F36280">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Como argumento adicional</w:t>
      </w:r>
      <w:r w:rsidR="00F36280"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00F36280" w:rsidRPr="00485CC5">
        <w:rPr>
          <w:rFonts w:ascii="Bookman Old Style" w:eastAsia="Calibri" w:hAnsi="Bookman Old Style" w:cs="Calibri"/>
          <w:szCs w:val="24"/>
          <w:lang w:val="es-ES_tradnl"/>
        </w:rPr>
        <w:t xml:space="preserve">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00F36280" w:rsidRPr="00485CC5">
        <w:rPr>
          <w:rStyle w:val="Refdenotaalpie"/>
          <w:rFonts w:ascii="Bookman Old Style" w:eastAsia="Calibri" w:hAnsi="Bookman Old Style" w:cs="Calibri"/>
          <w:szCs w:val="24"/>
          <w:lang w:val="es-ES_tradnl"/>
        </w:rPr>
        <w:footnoteReference w:id="94"/>
      </w:r>
      <w:r w:rsidR="00F36280"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00F36280" w:rsidRPr="00485CC5">
        <w:rPr>
          <w:rStyle w:val="Refdenotaalpie"/>
          <w:rFonts w:ascii="Bookman Old Style" w:eastAsia="Calibri" w:hAnsi="Bookman Old Style" w:cs="Calibri"/>
          <w:szCs w:val="24"/>
          <w:lang w:val="es-ES_tradnl"/>
        </w:rPr>
        <w:footnoteReference w:id="95"/>
      </w:r>
    </w:p>
    <w:p w14:paraId="03C37AAA" w14:textId="77777777" w:rsidR="00F36280" w:rsidRPr="00485CC5" w:rsidRDefault="00F36280" w:rsidP="00F36280">
      <w:pPr>
        <w:jc w:val="both"/>
        <w:rPr>
          <w:rFonts w:ascii="Bookman Old Style" w:eastAsia="Calibri" w:hAnsi="Bookman Old Style" w:cs="Calibri"/>
          <w:szCs w:val="24"/>
          <w:lang w:val="es-ES_tradnl"/>
        </w:rPr>
      </w:pPr>
    </w:p>
    <w:p w14:paraId="7D458C9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14:paraId="702E9B72" w14:textId="77777777" w:rsidR="00F36280" w:rsidRPr="00485CC5" w:rsidRDefault="00F36280" w:rsidP="00F36280">
      <w:pPr>
        <w:jc w:val="both"/>
        <w:rPr>
          <w:rFonts w:ascii="Bookman Old Style" w:eastAsia="Calibri" w:hAnsi="Bookman Old Style" w:cs="Calibri"/>
          <w:szCs w:val="24"/>
          <w:lang w:val="es-ES_tradnl"/>
        </w:rPr>
      </w:pPr>
    </w:p>
    <w:p w14:paraId="470E5F8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0D735BF1" w14:textId="77777777" w:rsidR="00F36280" w:rsidRPr="00485CC5" w:rsidRDefault="00F36280" w:rsidP="00F36280">
      <w:pPr>
        <w:jc w:val="both"/>
        <w:rPr>
          <w:rFonts w:ascii="Bookman Old Style" w:eastAsia="Calibri" w:hAnsi="Bookman Old Style" w:cs="Calibri"/>
          <w:szCs w:val="24"/>
          <w:lang w:val="es-ES_tradnl"/>
        </w:rPr>
      </w:pPr>
    </w:p>
    <w:p w14:paraId="1D9AF23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5C4BBECA" w14:textId="77777777" w:rsidR="00F36280" w:rsidRPr="00485CC5" w:rsidRDefault="00F36280" w:rsidP="00F36280">
      <w:pPr>
        <w:jc w:val="both"/>
        <w:rPr>
          <w:rFonts w:ascii="Bookman Old Style" w:eastAsia="Calibri" w:hAnsi="Bookman Old Style" w:cs="Calibri"/>
          <w:szCs w:val="24"/>
          <w:lang w:val="es-ES_tradnl"/>
        </w:rPr>
      </w:pPr>
    </w:p>
    <w:p w14:paraId="60E320C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46E3503" w14:textId="77777777" w:rsidR="00F36280" w:rsidRPr="00485CC5" w:rsidRDefault="00F36280" w:rsidP="00F36280">
      <w:pPr>
        <w:jc w:val="both"/>
        <w:rPr>
          <w:rFonts w:ascii="Bookman Old Style" w:eastAsia="Calibri" w:hAnsi="Bookman Old Style" w:cs="Calibri"/>
          <w:szCs w:val="24"/>
          <w:lang w:val="es-ES_tradnl"/>
        </w:rPr>
      </w:pPr>
    </w:p>
    <w:p w14:paraId="12F47415" w14:textId="56B68DA0"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la inspira y el consumidor que se ve reprimido por una intromisión indebida del poder público dentro de su esfera de decisión.</w:t>
      </w:r>
    </w:p>
    <w:p w14:paraId="471601C0" w14:textId="77777777" w:rsidR="00F36280" w:rsidRPr="00485CC5" w:rsidRDefault="00F36280" w:rsidP="00F36280">
      <w:pPr>
        <w:jc w:val="both"/>
        <w:rPr>
          <w:rFonts w:ascii="Bookman Old Style" w:eastAsia="Calibri" w:hAnsi="Bookman Old Style" w:cs="Calibri"/>
          <w:szCs w:val="24"/>
          <w:lang w:val="es-ES_tradnl"/>
        </w:rPr>
      </w:pPr>
    </w:p>
    <w:p w14:paraId="324DF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7527DB4B" w14:textId="77777777" w:rsidR="00F36280" w:rsidRPr="00485CC5" w:rsidRDefault="00F36280" w:rsidP="00F36280">
      <w:pPr>
        <w:jc w:val="both"/>
        <w:rPr>
          <w:rFonts w:ascii="Bookman Old Style" w:eastAsia="Calibri" w:hAnsi="Bookman Old Style" w:cs="Calibri"/>
          <w:szCs w:val="24"/>
          <w:lang w:val="es-ES_tradnl"/>
        </w:rPr>
      </w:pPr>
    </w:p>
    <w:p w14:paraId="1514B1B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14:paraId="55F1F7C4" w14:textId="77777777" w:rsidR="00F36280" w:rsidRPr="00485CC5" w:rsidRDefault="00F36280" w:rsidP="00F36280">
      <w:pPr>
        <w:jc w:val="both"/>
        <w:rPr>
          <w:rFonts w:ascii="Bookman Old Style" w:eastAsia="Calibri" w:hAnsi="Bookman Old Style" w:cs="Calibri"/>
          <w:szCs w:val="24"/>
          <w:lang w:val="es-ES_tradnl"/>
        </w:rPr>
      </w:pPr>
    </w:p>
    <w:p w14:paraId="3EBB0EF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29390D3E" w14:textId="77777777" w:rsidR="00F36280" w:rsidRPr="00485CC5" w:rsidRDefault="00F36280" w:rsidP="00F36280">
      <w:pPr>
        <w:jc w:val="both"/>
        <w:rPr>
          <w:rFonts w:ascii="Bookman Old Style" w:eastAsia="Calibri" w:hAnsi="Bookman Old Style" w:cs="Calibri"/>
          <w:szCs w:val="24"/>
          <w:lang w:val="es-ES_tradnl"/>
        </w:rPr>
      </w:pPr>
    </w:p>
    <w:p w14:paraId="0CBDC74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6792109B" w14:textId="77777777" w:rsidR="00F36280" w:rsidRPr="00485CC5" w:rsidRDefault="00F36280" w:rsidP="00F36280">
      <w:pPr>
        <w:jc w:val="both"/>
        <w:rPr>
          <w:rFonts w:ascii="Bookman Old Style" w:eastAsia="Calibri" w:hAnsi="Bookman Old Style" w:cs="Calibri"/>
          <w:szCs w:val="24"/>
          <w:lang w:val="es-ES_tradnl"/>
        </w:rPr>
      </w:pPr>
    </w:p>
    <w:p w14:paraId="6993FE25" w14:textId="2D572C4D"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6D89CA99" w14:textId="77777777" w:rsidR="00F36280" w:rsidRPr="00485CC5" w:rsidRDefault="00F36280" w:rsidP="00F36280">
      <w:pPr>
        <w:jc w:val="both"/>
        <w:rPr>
          <w:rFonts w:ascii="Bookman Old Style" w:eastAsia="Calibri" w:hAnsi="Bookman Old Style" w:cs="Calibri"/>
          <w:szCs w:val="24"/>
          <w:lang w:val="es-ES_tradnl"/>
        </w:rPr>
      </w:pPr>
    </w:p>
    <w:p w14:paraId="5A2E44C5" w14:textId="77777777" w:rsidR="00F36280" w:rsidRPr="00485CC5" w:rsidRDefault="00F36280" w:rsidP="001E18FE">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3C1116B4" w14:textId="77777777" w:rsidR="00F36280" w:rsidRPr="00485CC5" w:rsidRDefault="00F36280" w:rsidP="00F36280">
      <w:pPr>
        <w:rPr>
          <w:rFonts w:ascii="Bookman Old Style" w:eastAsia="Calibri" w:hAnsi="Bookman Old Style"/>
          <w:szCs w:val="24"/>
        </w:rPr>
      </w:pPr>
    </w:p>
    <w:p w14:paraId="76A0C8C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142C4B9" w14:textId="77777777" w:rsidR="00F36280" w:rsidRPr="00485CC5" w:rsidRDefault="00F36280" w:rsidP="00F36280">
      <w:pPr>
        <w:jc w:val="both"/>
        <w:rPr>
          <w:rFonts w:ascii="Bookman Old Style" w:hAnsi="Bookman Old Style" w:cs="Calibri"/>
          <w:szCs w:val="24"/>
        </w:rPr>
      </w:pPr>
    </w:p>
    <w:p w14:paraId="4981A5A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14:paraId="0DBBE2B7" w14:textId="77777777" w:rsidR="00F36280" w:rsidRPr="00485CC5" w:rsidRDefault="00F36280" w:rsidP="00F36280">
      <w:pPr>
        <w:jc w:val="both"/>
        <w:rPr>
          <w:rFonts w:ascii="Bookman Old Style" w:hAnsi="Bookman Old Style" w:cs="Calibri"/>
          <w:szCs w:val="24"/>
        </w:rPr>
      </w:pPr>
    </w:p>
    <w:p w14:paraId="7BF5360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14:paraId="0927C468" w14:textId="77777777" w:rsidR="00F36280" w:rsidRPr="00485CC5" w:rsidRDefault="00F36280" w:rsidP="00F36280">
      <w:pPr>
        <w:jc w:val="both"/>
        <w:rPr>
          <w:rFonts w:ascii="Bookman Old Style" w:hAnsi="Bookman Old Style" w:cs="Calibri"/>
          <w:szCs w:val="24"/>
        </w:rPr>
      </w:pPr>
    </w:p>
    <w:p w14:paraId="55A66D12"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6CB33A9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32DB4750"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14B922B"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6B3347BF"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2954593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23EF129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14:paraId="25A9A1AC" w14:textId="77777777" w:rsidR="00F36280" w:rsidRPr="00485CC5" w:rsidRDefault="00F36280" w:rsidP="00F36280">
      <w:pPr>
        <w:jc w:val="both"/>
        <w:rPr>
          <w:rFonts w:ascii="Bookman Old Style" w:hAnsi="Bookman Old Style" w:cs="Calibri"/>
          <w:szCs w:val="24"/>
        </w:rPr>
      </w:pPr>
    </w:p>
    <w:p w14:paraId="77AC0365"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1D0B37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525FBBDF"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14:paraId="3DB74011" w14:textId="77777777" w:rsidR="00F36280" w:rsidRPr="00485CC5" w:rsidRDefault="00F36280" w:rsidP="00F36280">
      <w:pPr>
        <w:jc w:val="both"/>
        <w:rPr>
          <w:rFonts w:ascii="Bookman Old Style" w:hAnsi="Bookman Old Style" w:cs="Calibri"/>
          <w:szCs w:val="24"/>
        </w:rPr>
      </w:pPr>
    </w:p>
    <w:p w14:paraId="3A218ECA"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346FA138"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9889FE9"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96B7AD2"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3B53A793"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35091B7"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4F2CEC2"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41F2A192"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142D479E"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28212941"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B386693"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5DC3E5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61CD6BA" w14:textId="68D42115" w:rsidR="00C66E26" w:rsidRDefault="00C66E26" w:rsidP="00F36280">
      <w:pPr>
        <w:jc w:val="both"/>
        <w:rPr>
          <w:rFonts w:ascii="Bookman Old Style" w:hAnsi="Bookman Old Style" w:cs="Calibri"/>
          <w:szCs w:val="24"/>
        </w:rPr>
      </w:pPr>
      <w:r>
        <w:rPr>
          <w:rFonts w:ascii="Bookman Old Style" w:hAnsi="Bookman Old Style" w:cs="Calibri"/>
          <w:szCs w:val="24"/>
        </w:rPr>
        <w:t>De acuerdo al Instituto Nacional Penitenciario y Carcelario – INPEC, el hacinamiento carcelario en Colombia</w:t>
      </w:r>
      <w:r w:rsidR="00285E76">
        <w:rPr>
          <w:rFonts w:ascii="Bookman Old Style" w:hAnsi="Bookman Old Style" w:cs="Calibri"/>
          <w:szCs w:val="24"/>
        </w:rPr>
        <w:t xml:space="preserve"> ha sido una situación constante en el sistema penitenciario, en donde</w:t>
      </w:r>
      <w:r>
        <w:rPr>
          <w:rFonts w:ascii="Bookman Old Style" w:hAnsi="Bookman Old Style" w:cs="Calibri"/>
          <w:szCs w:val="24"/>
        </w:rPr>
        <w:t xml:space="preserve"> ha alcanzado picos </w:t>
      </w:r>
      <w:r w:rsidR="00285E76">
        <w:rPr>
          <w:rFonts w:ascii="Bookman Old Style" w:hAnsi="Bookman Old Style" w:cs="Calibri"/>
          <w:szCs w:val="24"/>
        </w:rPr>
        <w:t>hasta del</w:t>
      </w:r>
      <w:r>
        <w:rPr>
          <w:rFonts w:ascii="Bookman Old Style" w:hAnsi="Bookman Old Style" w:cs="Calibri"/>
          <w:szCs w:val="24"/>
        </w:rPr>
        <w:t xml:space="preserve"> 54,3%, como ocurrió en el año 2019</w:t>
      </w:r>
      <w:r w:rsidR="00285E76">
        <w:rPr>
          <w:rFonts w:ascii="Bookman Old Style" w:hAnsi="Bookman Old Style" w:cs="Calibri"/>
          <w:szCs w:val="24"/>
        </w:rPr>
        <w:t>.</w:t>
      </w:r>
      <w:r>
        <w:rPr>
          <w:rFonts w:ascii="Bookman Old Style" w:hAnsi="Bookman Old Style" w:cs="Calibri"/>
          <w:szCs w:val="24"/>
        </w:rPr>
        <w:t xml:space="preserve"> </w:t>
      </w:r>
      <w:r w:rsidR="00285E76">
        <w:rPr>
          <w:rFonts w:ascii="Bookman Old Style" w:hAnsi="Bookman Old Style" w:cs="Calibri"/>
          <w:szCs w:val="24"/>
        </w:rPr>
        <w:t>S</w:t>
      </w:r>
      <w:r>
        <w:rPr>
          <w:rFonts w:ascii="Bookman Old Style" w:hAnsi="Bookman Old Style" w:cs="Calibri"/>
          <w:szCs w:val="24"/>
        </w:rPr>
        <w:t>i bien esta cifra ha bajado a un 19,8% para Junio de 2022, persiste el hacinamiento carcelario en detrimento de los derechos fundamentales de las personas privadas de la libertad.</w:t>
      </w:r>
    </w:p>
    <w:p w14:paraId="1D03E3C9" w14:textId="0EB182A7" w:rsidR="00C66E26" w:rsidRDefault="00C66E26" w:rsidP="00F36280">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C66E26" w14:paraId="14A3CA92" w14:textId="77777777" w:rsidTr="001D5D7C">
        <w:tc>
          <w:tcPr>
            <w:tcW w:w="3397" w:type="dxa"/>
          </w:tcPr>
          <w:p w14:paraId="5804FEF2" w14:textId="3F40476C" w:rsidR="00C66E26" w:rsidRPr="001D5D7C" w:rsidRDefault="00C66E26" w:rsidP="001D5D7C">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14:paraId="52B569AC" w14:textId="29FD34DF" w:rsidR="00C66E26" w:rsidRPr="001D5D7C" w:rsidRDefault="00C66E26" w:rsidP="001D5D7C">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C66E26" w14:paraId="1DCFDC6B" w14:textId="77777777" w:rsidTr="001D5D7C">
        <w:tc>
          <w:tcPr>
            <w:tcW w:w="3397" w:type="dxa"/>
          </w:tcPr>
          <w:p w14:paraId="6A9F09C5" w14:textId="027A3E0C" w:rsidR="00C66E26" w:rsidRDefault="00285E76" w:rsidP="001D5D7C">
            <w:pPr>
              <w:jc w:val="center"/>
              <w:rPr>
                <w:rFonts w:ascii="Bookman Old Style" w:hAnsi="Bookman Old Style" w:cs="Calibri"/>
                <w:szCs w:val="24"/>
              </w:rPr>
            </w:pPr>
            <w:r>
              <w:rPr>
                <w:rFonts w:ascii="Bookman Old Style" w:hAnsi="Bookman Old Style" w:cs="Calibri"/>
                <w:szCs w:val="24"/>
              </w:rPr>
              <w:t>2017</w:t>
            </w:r>
          </w:p>
        </w:tc>
        <w:tc>
          <w:tcPr>
            <w:tcW w:w="5431" w:type="dxa"/>
          </w:tcPr>
          <w:p w14:paraId="7246B663" w14:textId="35C3313D"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44,9%</w:t>
            </w:r>
          </w:p>
        </w:tc>
      </w:tr>
      <w:tr w:rsidR="00C66E26" w14:paraId="6C7D1BF1" w14:textId="77777777" w:rsidTr="001D5D7C">
        <w:tc>
          <w:tcPr>
            <w:tcW w:w="3397" w:type="dxa"/>
          </w:tcPr>
          <w:p w14:paraId="4A47B070" w14:textId="209DA7B9" w:rsidR="00C66E26" w:rsidRDefault="00285E76" w:rsidP="001D5D7C">
            <w:pPr>
              <w:jc w:val="center"/>
              <w:rPr>
                <w:rFonts w:ascii="Bookman Old Style" w:hAnsi="Bookman Old Style" w:cs="Calibri"/>
                <w:szCs w:val="24"/>
              </w:rPr>
            </w:pPr>
            <w:r>
              <w:rPr>
                <w:rFonts w:ascii="Bookman Old Style" w:hAnsi="Bookman Old Style" w:cs="Calibri"/>
                <w:szCs w:val="24"/>
              </w:rPr>
              <w:t>2018</w:t>
            </w:r>
          </w:p>
        </w:tc>
        <w:tc>
          <w:tcPr>
            <w:tcW w:w="5431" w:type="dxa"/>
          </w:tcPr>
          <w:p w14:paraId="3B48A20A" w14:textId="65FDD3B9"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47,7%</w:t>
            </w:r>
          </w:p>
        </w:tc>
      </w:tr>
      <w:tr w:rsidR="00C66E26" w14:paraId="51F6654B" w14:textId="77777777" w:rsidTr="001D5D7C">
        <w:tc>
          <w:tcPr>
            <w:tcW w:w="3397" w:type="dxa"/>
          </w:tcPr>
          <w:p w14:paraId="16A5E33D" w14:textId="01A48B59" w:rsidR="00C66E26" w:rsidRDefault="00285E76" w:rsidP="001D5D7C">
            <w:pPr>
              <w:jc w:val="center"/>
              <w:rPr>
                <w:rFonts w:ascii="Bookman Old Style" w:hAnsi="Bookman Old Style" w:cs="Calibri"/>
                <w:szCs w:val="24"/>
              </w:rPr>
            </w:pPr>
            <w:r>
              <w:rPr>
                <w:rFonts w:ascii="Bookman Old Style" w:hAnsi="Bookman Old Style" w:cs="Calibri"/>
                <w:szCs w:val="24"/>
              </w:rPr>
              <w:t>2019</w:t>
            </w:r>
          </w:p>
        </w:tc>
        <w:tc>
          <w:tcPr>
            <w:tcW w:w="5431" w:type="dxa"/>
          </w:tcPr>
          <w:p w14:paraId="750B6A35" w14:textId="1148DCDB"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54,3%</w:t>
            </w:r>
          </w:p>
        </w:tc>
      </w:tr>
      <w:tr w:rsidR="00C66E26" w14:paraId="0CD5827F" w14:textId="77777777" w:rsidTr="001D5D7C">
        <w:tc>
          <w:tcPr>
            <w:tcW w:w="3397" w:type="dxa"/>
          </w:tcPr>
          <w:p w14:paraId="7498D9C4" w14:textId="32B67BCA" w:rsidR="00C66E26" w:rsidRDefault="00285E76" w:rsidP="001D5D7C">
            <w:pPr>
              <w:jc w:val="center"/>
              <w:rPr>
                <w:rFonts w:ascii="Bookman Old Style" w:hAnsi="Bookman Old Style" w:cs="Calibri"/>
                <w:szCs w:val="24"/>
              </w:rPr>
            </w:pPr>
            <w:r>
              <w:rPr>
                <w:rFonts w:ascii="Bookman Old Style" w:hAnsi="Bookman Old Style" w:cs="Calibri"/>
                <w:szCs w:val="24"/>
              </w:rPr>
              <w:t>2020</w:t>
            </w:r>
          </w:p>
        </w:tc>
        <w:tc>
          <w:tcPr>
            <w:tcW w:w="5431" w:type="dxa"/>
          </w:tcPr>
          <w:p w14:paraId="26E72725" w14:textId="3658F6A3"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19,3%</w:t>
            </w:r>
          </w:p>
        </w:tc>
      </w:tr>
      <w:tr w:rsidR="00C66E26" w14:paraId="5B8FA7C5" w14:textId="77777777" w:rsidTr="001D5D7C">
        <w:tc>
          <w:tcPr>
            <w:tcW w:w="3397" w:type="dxa"/>
          </w:tcPr>
          <w:p w14:paraId="75FC039F" w14:textId="4FE92F34" w:rsidR="00C66E26" w:rsidRDefault="00285E76" w:rsidP="001D5D7C">
            <w:pPr>
              <w:jc w:val="center"/>
              <w:rPr>
                <w:rFonts w:ascii="Bookman Old Style" w:hAnsi="Bookman Old Style" w:cs="Calibri"/>
                <w:szCs w:val="24"/>
              </w:rPr>
            </w:pPr>
            <w:r>
              <w:rPr>
                <w:rFonts w:ascii="Bookman Old Style" w:hAnsi="Bookman Old Style" w:cs="Calibri"/>
                <w:szCs w:val="24"/>
              </w:rPr>
              <w:t>2021</w:t>
            </w:r>
          </w:p>
        </w:tc>
        <w:tc>
          <w:tcPr>
            <w:tcW w:w="5431" w:type="dxa"/>
          </w:tcPr>
          <w:p w14:paraId="6023E185" w14:textId="21F204CB"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20,5%</w:t>
            </w:r>
          </w:p>
        </w:tc>
      </w:tr>
      <w:tr w:rsidR="00285E76" w14:paraId="0FD5C38D" w14:textId="77777777" w:rsidTr="001D5D7C">
        <w:tc>
          <w:tcPr>
            <w:tcW w:w="3397" w:type="dxa"/>
          </w:tcPr>
          <w:p w14:paraId="5229AEFA" w14:textId="1D94F896" w:rsidR="00285E76" w:rsidRDefault="00285E76" w:rsidP="001D5D7C">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14:paraId="242A8FA7" w14:textId="27569622" w:rsidR="00285E7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19,8%</w:t>
            </w:r>
          </w:p>
        </w:tc>
      </w:tr>
    </w:tbl>
    <w:p w14:paraId="4AEE0886" w14:textId="77777777" w:rsidR="00C66E26" w:rsidRDefault="00C66E26" w:rsidP="00F36280">
      <w:pPr>
        <w:jc w:val="both"/>
        <w:rPr>
          <w:rFonts w:ascii="Bookman Old Style" w:hAnsi="Bookman Old Style" w:cs="Calibri"/>
          <w:szCs w:val="24"/>
        </w:rPr>
      </w:pPr>
    </w:p>
    <w:p w14:paraId="3F4B1FE1" w14:textId="40AD5352"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14:paraId="4012CEA9" w14:textId="77777777" w:rsidR="00F36280" w:rsidRPr="00485CC5" w:rsidRDefault="00F36280" w:rsidP="00F36280">
      <w:pPr>
        <w:jc w:val="both"/>
        <w:rPr>
          <w:rFonts w:ascii="Bookman Old Style" w:hAnsi="Bookman Old Style" w:cs="Calibri"/>
          <w:szCs w:val="24"/>
        </w:rPr>
      </w:pPr>
    </w:p>
    <w:p w14:paraId="2C8EEDA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14:paraId="02400BB8" w14:textId="77777777" w:rsidR="00F36280" w:rsidRPr="00485CC5" w:rsidRDefault="00F36280" w:rsidP="00F36280">
      <w:pPr>
        <w:jc w:val="both"/>
        <w:rPr>
          <w:rFonts w:ascii="Bookman Old Style" w:hAnsi="Bookman Old Style" w:cs="Calibri"/>
          <w:szCs w:val="24"/>
        </w:rPr>
      </w:pPr>
    </w:p>
    <w:p w14:paraId="6E0E427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14:paraId="3418F161" w14:textId="77777777" w:rsidR="00F36280" w:rsidRPr="00485CC5" w:rsidRDefault="00F36280" w:rsidP="00F36280">
      <w:pPr>
        <w:jc w:val="both"/>
        <w:rPr>
          <w:rFonts w:ascii="Bookman Old Style" w:hAnsi="Bookman Old Style" w:cs="Calibri"/>
          <w:szCs w:val="24"/>
        </w:rPr>
      </w:pPr>
    </w:p>
    <w:p w14:paraId="3BF0E37D"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35416AB" w14:textId="77777777" w:rsidR="00F36280" w:rsidRPr="00485CC5" w:rsidRDefault="00F36280" w:rsidP="00F36280">
      <w:pPr>
        <w:jc w:val="both"/>
        <w:rPr>
          <w:rFonts w:ascii="Bookman Old Style" w:hAnsi="Bookman Old Style" w:cs="Calibri"/>
          <w:szCs w:val="24"/>
        </w:rPr>
      </w:pPr>
    </w:p>
    <w:p w14:paraId="6BF652F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14:paraId="63D8E9ED" w14:textId="77777777" w:rsidR="00F36280" w:rsidRPr="00485CC5" w:rsidRDefault="00F36280" w:rsidP="00F36280">
      <w:pPr>
        <w:jc w:val="both"/>
        <w:rPr>
          <w:rFonts w:ascii="Bookman Old Style" w:hAnsi="Bookman Old Style" w:cs="Calibri"/>
          <w:szCs w:val="24"/>
        </w:rPr>
      </w:pPr>
    </w:p>
    <w:p w14:paraId="1393050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0A34FF3E" w14:textId="77777777" w:rsidR="00F36280" w:rsidRPr="00485CC5" w:rsidRDefault="00F36280" w:rsidP="00F36280">
      <w:pPr>
        <w:jc w:val="both"/>
        <w:rPr>
          <w:rFonts w:ascii="Bookman Old Style" w:hAnsi="Bookman Old Style" w:cs="Calibri"/>
          <w:szCs w:val="24"/>
        </w:rPr>
      </w:pPr>
    </w:p>
    <w:p w14:paraId="2E30A040" w14:textId="77777777" w:rsidR="00F36280" w:rsidRPr="00485CC5" w:rsidRDefault="00F36280" w:rsidP="00F36280">
      <w:pPr>
        <w:pStyle w:val="Ttulo1"/>
        <w:jc w:val="both"/>
        <w:rPr>
          <w:rFonts w:ascii="Bookman Old Style" w:hAnsi="Bookman Old Style" w:cs="Calibri"/>
          <w:b w:val="0"/>
          <w:sz w:val="22"/>
          <w:szCs w:val="24"/>
        </w:rPr>
      </w:pPr>
      <w:bookmarkStart w:id="5"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5"/>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14:paraId="1A808FF8" w14:textId="77777777" w:rsidR="00F36280" w:rsidRPr="00485CC5" w:rsidRDefault="00F36280" w:rsidP="00F36280">
      <w:pPr>
        <w:rPr>
          <w:rFonts w:ascii="Bookman Old Style" w:hAnsi="Bookman Old Style"/>
          <w:szCs w:val="24"/>
        </w:rPr>
      </w:pPr>
    </w:p>
    <w:p w14:paraId="511FD2F7" w14:textId="77777777"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CED3E92" w14:textId="77777777" w:rsidR="00F36280" w:rsidRPr="00485CC5" w:rsidRDefault="00F36280" w:rsidP="00F36280">
      <w:pPr>
        <w:rPr>
          <w:rFonts w:ascii="Bookman Old Style" w:hAnsi="Bookman Old Style"/>
          <w:szCs w:val="24"/>
        </w:rPr>
      </w:pPr>
    </w:p>
    <w:p w14:paraId="4486560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709E64F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933FB4"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14:paraId="36FFA14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D9EB5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14:paraId="4E255ED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AB329FB"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14:paraId="165E428D" w14:textId="77777777" w:rsidR="00F36280" w:rsidRPr="00485CC5" w:rsidRDefault="00F36280" w:rsidP="00F36280">
      <w:pPr>
        <w:pStyle w:val="Prrafodelista"/>
        <w:spacing w:after="0" w:line="240" w:lineRule="auto"/>
        <w:rPr>
          <w:rFonts w:ascii="Bookman Old Style" w:hAnsi="Bookman Old Style" w:cs="Calibri"/>
          <w:szCs w:val="24"/>
        </w:rPr>
      </w:pPr>
    </w:p>
    <w:p w14:paraId="392BCFD3" w14:textId="0AA1B74B"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 xml:space="preserve">Las mujeres en América </w:t>
      </w:r>
      <w:r w:rsidR="002548C6" w:rsidRPr="00485CC5">
        <w:rPr>
          <w:rFonts w:ascii="Bookman Old Style" w:hAnsi="Bookman Old Style" w:cs="Calibri"/>
          <w:szCs w:val="24"/>
        </w:rPr>
        <w:t>Latina</w:t>
      </w:r>
      <w:r w:rsidRPr="00485CC5">
        <w:rPr>
          <w:rFonts w:ascii="Bookman Old Style" w:hAnsi="Bookman Old Style" w:cs="Calibri"/>
          <w:szCs w:val="24"/>
        </w:rPr>
        <w:t xml:space="preserve">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14:paraId="60D098C2" w14:textId="77777777" w:rsidR="00F36280" w:rsidRPr="00485CC5" w:rsidRDefault="00F36280" w:rsidP="00F36280">
      <w:pPr>
        <w:jc w:val="both"/>
        <w:rPr>
          <w:rFonts w:ascii="Bookman Old Style" w:hAnsi="Bookman Old Style" w:cs="Calibri"/>
          <w:szCs w:val="24"/>
        </w:rPr>
      </w:pPr>
    </w:p>
    <w:p w14:paraId="3D8132C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14:paraId="2085D024" w14:textId="77777777" w:rsidR="00F36280" w:rsidRPr="00485CC5" w:rsidRDefault="00F36280" w:rsidP="00F36280">
      <w:pPr>
        <w:jc w:val="both"/>
        <w:rPr>
          <w:rFonts w:ascii="Bookman Old Style" w:hAnsi="Bookman Old Style" w:cs="Calibri"/>
          <w:szCs w:val="24"/>
        </w:rPr>
      </w:pPr>
    </w:p>
    <w:p w14:paraId="488EB25F" w14:textId="77777777"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255DB051" w14:textId="77777777" w:rsidR="00F36280" w:rsidRPr="00485CC5" w:rsidRDefault="00F36280" w:rsidP="00621929">
      <w:pPr>
        <w:pStyle w:val="Prrafodelista"/>
        <w:spacing w:after="0" w:line="240" w:lineRule="auto"/>
        <w:jc w:val="both"/>
        <w:rPr>
          <w:rFonts w:ascii="Bookman Old Style" w:hAnsi="Bookman Old Style" w:cs="Calibri"/>
          <w:szCs w:val="24"/>
        </w:rPr>
      </w:pPr>
    </w:p>
    <w:p w14:paraId="1641EA0C" w14:textId="77777777"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79BC80EF" w14:textId="77777777" w:rsidR="00145FCB" w:rsidRPr="00621929" w:rsidRDefault="00145FCB" w:rsidP="00621929">
      <w:pPr>
        <w:pStyle w:val="Prrafodelista"/>
        <w:rPr>
          <w:rFonts w:ascii="Bookman Old Style" w:hAnsi="Bookman Old Style" w:cs="Calibri"/>
          <w:szCs w:val="24"/>
        </w:rPr>
      </w:pPr>
    </w:p>
    <w:p w14:paraId="4FAB41F7" w14:textId="77777777"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780E855B" w14:textId="77777777" w:rsidR="00F36280" w:rsidRPr="00485CC5" w:rsidRDefault="00F36280" w:rsidP="00621929"/>
    <w:p w14:paraId="601EF21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14:paraId="1E3A23EA"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7808D64" w14:textId="77777777"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620E91A" w14:textId="77777777" w:rsidR="00F36280" w:rsidRPr="00485CC5" w:rsidRDefault="00F36280" w:rsidP="005B5FC0">
            <w:pPr>
              <w:ind w:right="616"/>
              <w:jc w:val="right"/>
              <w:rPr>
                <w:rFonts w:ascii="Bookman Old Style" w:hAnsi="Bookman Old Style" w:cs="Calibri"/>
                <w:b/>
                <w:szCs w:val="24"/>
              </w:rPr>
            </w:pPr>
            <w:bookmarkStart w:id="6" w:name="Nivel078"/>
            <w:r w:rsidRPr="00485CC5">
              <w:rPr>
                <w:rFonts w:ascii="Bookman Old Style" w:hAnsi="Bookman Old Style" w:cs="Calibri"/>
                <w:b/>
                <w:szCs w:val="24"/>
              </w:rPr>
              <w:t>TEXTO LEGAL VIGENTE</w:t>
            </w:r>
          </w:p>
        </w:tc>
        <w:tc>
          <w:tcPr>
            <w:tcW w:w="4536" w:type="dxa"/>
          </w:tcPr>
          <w:p w14:paraId="779B657B" w14:textId="77777777"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5E31EDF7" w14:textId="77777777" w:rsidTr="005B5FC0">
        <w:tc>
          <w:tcPr>
            <w:tcW w:w="4536" w:type="dxa"/>
          </w:tcPr>
          <w:p w14:paraId="1BBDCD98" w14:textId="77777777"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5B84FC03" w14:textId="77777777" w:rsidR="00F36280" w:rsidRPr="00485CC5" w:rsidRDefault="00F36280" w:rsidP="005B5FC0">
            <w:pPr>
              <w:ind w:left="29"/>
              <w:jc w:val="both"/>
              <w:rPr>
                <w:rFonts w:ascii="Bookman Old Style" w:hAnsi="Bookman Old Style" w:cs="Calibri"/>
                <w:b/>
                <w:szCs w:val="24"/>
                <w:lang w:val="es-ES_tradnl"/>
              </w:rPr>
            </w:pPr>
          </w:p>
          <w:p w14:paraId="17C4D6FC"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7578377E" w14:textId="77777777" w:rsidR="00F36280" w:rsidRPr="00485CC5" w:rsidRDefault="00F36280" w:rsidP="005B5FC0">
            <w:pPr>
              <w:ind w:left="29"/>
              <w:jc w:val="both"/>
              <w:rPr>
                <w:rFonts w:ascii="Bookman Old Style" w:hAnsi="Bookman Old Style" w:cs="Calibri"/>
                <w:szCs w:val="24"/>
                <w:lang w:val="es-ES_tradnl"/>
              </w:rPr>
            </w:pPr>
          </w:p>
          <w:p w14:paraId="1FF5D49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4E9430D" w14:textId="77777777" w:rsidR="00F36280" w:rsidRPr="00485CC5" w:rsidRDefault="00F36280" w:rsidP="005B5FC0">
            <w:pPr>
              <w:ind w:left="29"/>
              <w:jc w:val="both"/>
              <w:rPr>
                <w:rFonts w:ascii="Bookman Old Style" w:hAnsi="Bookman Old Style" w:cs="Calibri"/>
                <w:szCs w:val="24"/>
                <w:lang w:val="es-ES_tradnl"/>
              </w:rPr>
            </w:pPr>
          </w:p>
          <w:p w14:paraId="73BE2B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18F2FA9" w14:textId="77777777" w:rsidR="00F36280" w:rsidRPr="00485CC5" w:rsidRDefault="00F36280" w:rsidP="005B5FC0">
            <w:pPr>
              <w:ind w:left="29"/>
              <w:jc w:val="both"/>
              <w:rPr>
                <w:rFonts w:ascii="Bookman Old Style" w:hAnsi="Bookman Old Style" w:cs="Calibri"/>
                <w:szCs w:val="24"/>
                <w:lang w:val="es-ES_tradnl"/>
              </w:rPr>
            </w:pPr>
          </w:p>
          <w:p w14:paraId="4D2463C0"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0813922C" w14:textId="77777777" w:rsidR="00F36280" w:rsidRPr="00485CC5" w:rsidRDefault="00F36280" w:rsidP="005B5FC0">
            <w:pPr>
              <w:ind w:left="29"/>
              <w:jc w:val="both"/>
              <w:rPr>
                <w:rFonts w:ascii="Bookman Old Style" w:hAnsi="Bookman Old Style" w:cs="Calibri"/>
                <w:szCs w:val="24"/>
                <w:lang w:val="es-ES_tradnl"/>
              </w:rPr>
            </w:pPr>
          </w:p>
          <w:p w14:paraId="71DB582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06D1DCE3" w14:textId="77777777" w:rsidR="00F36280" w:rsidRPr="00485CC5" w:rsidRDefault="00F36280" w:rsidP="005B5FC0">
            <w:pPr>
              <w:ind w:left="29"/>
              <w:jc w:val="both"/>
              <w:rPr>
                <w:rFonts w:ascii="Bookman Old Style" w:hAnsi="Bookman Old Style" w:cs="Calibri"/>
                <w:szCs w:val="24"/>
                <w:lang w:val="es-ES_tradnl"/>
              </w:rPr>
            </w:pPr>
          </w:p>
          <w:p w14:paraId="3C13A8B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93D1DF2" w14:textId="77777777" w:rsidR="00F36280" w:rsidRPr="00485CC5" w:rsidRDefault="00F36280" w:rsidP="005B5FC0">
            <w:pPr>
              <w:ind w:left="29"/>
              <w:jc w:val="both"/>
              <w:rPr>
                <w:rFonts w:ascii="Bookman Old Style" w:hAnsi="Bookman Old Style" w:cs="Calibri"/>
                <w:szCs w:val="24"/>
                <w:lang w:val="es-ES_tradnl"/>
              </w:rPr>
            </w:pPr>
          </w:p>
          <w:p w14:paraId="18B2AB1A" w14:textId="77777777" w:rsidR="00F36280" w:rsidRPr="00485CC5" w:rsidRDefault="00F36280" w:rsidP="005B5FC0">
            <w:pPr>
              <w:ind w:left="29"/>
              <w:jc w:val="both"/>
              <w:rPr>
                <w:rFonts w:ascii="Bookman Old Style" w:hAnsi="Bookman Old Style" w:cs="Calibri"/>
                <w:szCs w:val="24"/>
                <w:lang w:val="es-ES_tradnl"/>
              </w:rPr>
            </w:pPr>
          </w:p>
          <w:p w14:paraId="195AC449" w14:textId="77777777" w:rsidR="00F36280" w:rsidRPr="00485CC5" w:rsidRDefault="00F36280" w:rsidP="005B5FC0">
            <w:pPr>
              <w:ind w:left="29"/>
              <w:jc w:val="both"/>
              <w:rPr>
                <w:rFonts w:ascii="Bookman Old Style" w:hAnsi="Bookman Old Style" w:cs="Calibri"/>
                <w:szCs w:val="24"/>
                <w:lang w:val="es-ES_tradnl"/>
              </w:rPr>
            </w:pPr>
          </w:p>
          <w:p w14:paraId="4A28F511" w14:textId="77777777" w:rsidR="00F36280" w:rsidRPr="00485CC5" w:rsidRDefault="00F36280" w:rsidP="005B5FC0">
            <w:pPr>
              <w:ind w:left="29"/>
              <w:jc w:val="both"/>
              <w:rPr>
                <w:rFonts w:ascii="Bookman Old Style" w:hAnsi="Bookman Old Style" w:cs="Calibri"/>
                <w:szCs w:val="24"/>
                <w:lang w:val="es-ES_tradnl"/>
              </w:rPr>
            </w:pPr>
          </w:p>
          <w:p w14:paraId="204E7122" w14:textId="77777777" w:rsidR="00F36280" w:rsidRPr="00485CC5" w:rsidRDefault="00F36280" w:rsidP="005B5FC0">
            <w:pPr>
              <w:ind w:left="29"/>
              <w:jc w:val="both"/>
              <w:rPr>
                <w:rFonts w:ascii="Bookman Old Style" w:hAnsi="Bookman Old Style" w:cs="Calibri"/>
                <w:szCs w:val="24"/>
                <w:lang w:val="es-ES_tradnl"/>
              </w:rPr>
            </w:pPr>
          </w:p>
          <w:p w14:paraId="7C56E4AA" w14:textId="77777777" w:rsidR="00F36280" w:rsidRPr="00485CC5" w:rsidRDefault="00F36280" w:rsidP="005B5FC0">
            <w:pPr>
              <w:ind w:left="29"/>
              <w:jc w:val="both"/>
              <w:rPr>
                <w:rFonts w:ascii="Bookman Old Style" w:hAnsi="Bookman Old Style" w:cs="Calibri"/>
                <w:szCs w:val="24"/>
                <w:lang w:val="es-ES_tradnl"/>
              </w:rPr>
            </w:pPr>
          </w:p>
          <w:p w14:paraId="2C8F3A41" w14:textId="77777777" w:rsidR="00F36280" w:rsidRPr="00485CC5" w:rsidRDefault="00F36280" w:rsidP="005B5FC0">
            <w:pPr>
              <w:ind w:left="29"/>
              <w:jc w:val="both"/>
              <w:rPr>
                <w:rFonts w:ascii="Bookman Old Style" w:hAnsi="Bookman Old Style" w:cs="Calibri"/>
                <w:szCs w:val="24"/>
                <w:lang w:val="es-ES_tradnl"/>
              </w:rPr>
            </w:pPr>
          </w:p>
          <w:p w14:paraId="0DBAAA0E" w14:textId="77777777" w:rsidR="00F36280" w:rsidRPr="00485CC5" w:rsidRDefault="00F36280" w:rsidP="005B5FC0">
            <w:pPr>
              <w:ind w:left="29"/>
              <w:jc w:val="both"/>
              <w:rPr>
                <w:rFonts w:ascii="Bookman Old Style" w:hAnsi="Bookman Old Style" w:cs="Calibri"/>
                <w:szCs w:val="24"/>
                <w:lang w:val="es-ES_tradnl"/>
              </w:rPr>
            </w:pPr>
          </w:p>
          <w:p w14:paraId="4D1A97C7" w14:textId="77777777" w:rsidR="00F36280" w:rsidRPr="00485CC5" w:rsidRDefault="00F36280" w:rsidP="005B5FC0">
            <w:pPr>
              <w:ind w:left="29"/>
              <w:jc w:val="both"/>
              <w:rPr>
                <w:rFonts w:ascii="Bookman Old Style" w:hAnsi="Bookman Old Style" w:cs="Calibri"/>
                <w:szCs w:val="24"/>
                <w:lang w:val="es-ES_tradnl"/>
              </w:rPr>
            </w:pPr>
          </w:p>
          <w:p w14:paraId="103D8C15" w14:textId="77777777" w:rsidR="00F36280" w:rsidRPr="00485CC5" w:rsidRDefault="00F36280" w:rsidP="005B5FC0">
            <w:pPr>
              <w:ind w:left="29"/>
              <w:jc w:val="both"/>
              <w:rPr>
                <w:rFonts w:ascii="Bookman Old Style" w:hAnsi="Bookman Old Style" w:cs="Calibri"/>
                <w:szCs w:val="24"/>
                <w:lang w:val="es-ES_tradnl"/>
              </w:rPr>
            </w:pPr>
          </w:p>
          <w:p w14:paraId="2433AC7D" w14:textId="77777777" w:rsidR="00F36280" w:rsidRPr="00485CC5" w:rsidRDefault="00F36280" w:rsidP="005B5FC0">
            <w:pPr>
              <w:ind w:left="29"/>
              <w:jc w:val="both"/>
              <w:rPr>
                <w:rFonts w:ascii="Bookman Old Style" w:hAnsi="Bookman Old Style" w:cs="Calibri"/>
                <w:szCs w:val="24"/>
                <w:lang w:val="es-ES_tradnl"/>
              </w:rPr>
            </w:pPr>
          </w:p>
          <w:p w14:paraId="6D6D0D5A" w14:textId="77777777" w:rsidR="00F36280" w:rsidRPr="00485CC5" w:rsidRDefault="00F36280" w:rsidP="005B5FC0">
            <w:pPr>
              <w:ind w:left="29"/>
              <w:jc w:val="both"/>
              <w:rPr>
                <w:rFonts w:ascii="Bookman Old Style" w:hAnsi="Bookman Old Style" w:cs="Calibri"/>
                <w:szCs w:val="24"/>
                <w:lang w:val="es-ES_tradnl"/>
              </w:rPr>
            </w:pPr>
          </w:p>
          <w:p w14:paraId="0BA61CA6" w14:textId="77777777" w:rsidR="00F36280" w:rsidRPr="00485CC5" w:rsidRDefault="00F36280" w:rsidP="005B5FC0">
            <w:pPr>
              <w:ind w:left="29"/>
              <w:jc w:val="both"/>
              <w:rPr>
                <w:rFonts w:ascii="Bookman Old Style" w:hAnsi="Bookman Old Style" w:cs="Calibri"/>
                <w:szCs w:val="24"/>
                <w:lang w:val="es-ES_tradnl"/>
              </w:rPr>
            </w:pPr>
          </w:p>
          <w:p w14:paraId="3B0E070C" w14:textId="77777777" w:rsidR="000046EF" w:rsidRDefault="000046EF" w:rsidP="001D5D7C">
            <w:pPr>
              <w:jc w:val="both"/>
              <w:rPr>
                <w:rFonts w:ascii="Bookman Old Style" w:hAnsi="Bookman Old Style" w:cs="Calibri"/>
                <w:szCs w:val="24"/>
                <w:lang w:val="es-ES_tradnl"/>
              </w:rPr>
            </w:pPr>
          </w:p>
          <w:p w14:paraId="0F58B645" w14:textId="77777777"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595531FB" w14:textId="77777777"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14:paraId="346B5DE0" w14:textId="77777777" w:rsidR="00F36280" w:rsidRPr="00485CC5" w:rsidRDefault="00F36280" w:rsidP="005B5FC0">
            <w:pPr>
              <w:ind w:left="29"/>
              <w:jc w:val="center"/>
              <w:rPr>
                <w:rFonts w:ascii="Bookman Old Style" w:hAnsi="Bookman Old Style" w:cs="Calibri"/>
                <w:b/>
                <w:szCs w:val="24"/>
              </w:rPr>
            </w:pPr>
          </w:p>
          <w:p w14:paraId="15FD1F3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A417DD" w14:textId="77777777" w:rsidR="00F36280" w:rsidRPr="00485CC5" w:rsidRDefault="00F36280" w:rsidP="005B5FC0">
            <w:pPr>
              <w:ind w:left="29"/>
              <w:jc w:val="both"/>
              <w:rPr>
                <w:rFonts w:ascii="Bookman Old Style" w:hAnsi="Bookman Old Style" w:cs="Calibri"/>
                <w:szCs w:val="24"/>
                <w:lang w:val="es-ES_tradnl"/>
              </w:rPr>
            </w:pPr>
          </w:p>
          <w:p w14:paraId="743455AB"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C77FE7" w14:textId="77777777" w:rsidR="00F36280" w:rsidRPr="00485CC5" w:rsidRDefault="00F36280" w:rsidP="005B5FC0">
            <w:pPr>
              <w:ind w:left="29"/>
              <w:jc w:val="both"/>
              <w:rPr>
                <w:rFonts w:ascii="Bookman Old Style" w:hAnsi="Bookman Old Style" w:cs="Calibri"/>
                <w:szCs w:val="24"/>
                <w:lang w:val="es-ES_tradnl"/>
              </w:rPr>
            </w:pPr>
          </w:p>
          <w:p w14:paraId="7E8281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6FA6821E" w14:textId="77777777" w:rsidR="00F36280" w:rsidRPr="00485CC5" w:rsidRDefault="00F36280" w:rsidP="005B5FC0">
            <w:pPr>
              <w:ind w:left="29"/>
              <w:jc w:val="both"/>
              <w:rPr>
                <w:rFonts w:ascii="Bookman Old Style" w:hAnsi="Bookman Old Style" w:cs="Calibri"/>
                <w:szCs w:val="24"/>
                <w:lang w:val="es-ES_tradnl"/>
              </w:rPr>
            </w:pPr>
          </w:p>
          <w:p w14:paraId="61DAA68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C330C4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D6A5F4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24D5E0B7" w14:textId="77777777" w:rsidR="00F36280" w:rsidRPr="00485CC5" w:rsidRDefault="00F36280" w:rsidP="005B5FC0">
            <w:pPr>
              <w:ind w:left="29"/>
              <w:jc w:val="both"/>
              <w:rPr>
                <w:rFonts w:ascii="Bookman Old Style" w:hAnsi="Bookman Old Style" w:cs="Calibri"/>
                <w:szCs w:val="24"/>
                <w:lang w:val="es-ES_tradnl"/>
              </w:rPr>
            </w:pPr>
          </w:p>
          <w:p w14:paraId="54FA6AB2" w14:textId="045139BF" w:rsidR="00F041AE" w:rsidRPr="00E606C3" w:rsidRDefault="00F041AE" w:rsidP="00E606C3">
            <w:pPr>
              <w:ind w:left="29"/>
              <w:jc w:val="both"/>
              <w:rPr>
                <w:rFonts w:ascii="Bookman Old Style" w:hAnsi="Bookman Old Style" w:cs="Calibri"/>
                <w:b/>
                <w:szCs w:val="24"/>
                <w:u w:val="single"/>
              </w:rPr>
            </w:pPr>
            <w:r w:rsidRPr="00F041AE">
              <w:rPr>
                <w:rFonts w:ascii="Bookman Old Style" w:hAnsi="Bookman Old Style" w:cs="Calibri"/>
                <w:b/>
                <w:szCs w:val="24"/>
                <w:u w:val="single"/>
              </w:rPr>
              <w:t>La prohibición prevista en el inciso anterior no aplicará para el uso por parte de mayores de edad del cannabis y sus derivados. Tampoco aplicará para la destinación científica de estas sustancias, siempre y cuando se cuente con las licencias otorgadas por la autoridad competente. La Ley podrá restringir el porte y consumo del cannabis y sus derivados en espacios públicos, zonas comunes y entornos escolares, entre otros.</w:t>
            </w:r>
          </w:p>
          <w:p w14:paraId="23753759" w14:textId="77777777" w:rsidR="00E606C3" w:rsidRDefault="00E606C3" w:rsidP="00E606C3">
            <w:pPr>
              <w:ind w:left="29"/>
              <w:jc w:val="both"/>
              <w:rPr>
                <w:rFonts w:ascii="Bookman Old Style" w:hAnsi="Bookman Old Style" w:cs="Calibri"/>
                <w:b/>
                <w:szCs w:val="24"/>
                <w:u w:val="single"/>
              </w:rPr>
            </w:pPr>
          </w:p>
          <w:p w14:paraId="4A6EDE41" w14:textId="2CD9328E" w:rsidR="00E606C3" w:rsidRPr="00E606C3" w:rsidRDefault="00E606C3" w:rsidP="00E606C3">
            <w:pPr>
              <w:ind w:left="29"/>
              <w:jc w:val="both"/>
              <w:rPr>
                <w:rFonts w:ascii="Bookman Old Style" w:hAnsi="Bookman Old Style" w:cs="Calibri"/>
                <w:bCs/>
                <w:szCs w:val="24"/>
              </w:rPr>
            </w:pPr>
            <w:r w:rsidRPr="00E606C3">
              <w:rPr>
                <w:rFonts w:ascii="Bookman Old Style" w:hAnsi="Bookman Old Style" w:cs="Calibri"/>
                <w:bCs/>
                <w:szCs w:val="24"/>
              </w:rPr>
              <w:t xml:space="preserve">Así mismo el Estado dedicará especial atención al enfermo dependiente o adicto y a su familia para </w:t>
            </w:r>
            <w:r w:rsidRPr="00E606C3">
              <w:rPr>
                <w:rFonts w:ascii="Bookman Old Style" w:hAnsi="Bookman Old Style" w:cs="Calibri"/>
                <w:b/>
                <w:szCs w:val="24"/>
                <w:u w:val="single"/>
              </w:rPr>
              <w:t>garantizar su tratamiento; y así</w:t>
            </w:r>
            <w:r w:rsidRPr="00E606C3">
              <w:rPr>
                <w:rFonts w:ascii="Bookman Old Style" w:hAnsi="Bookman Old Style" w:cs="Calibri"/>
                <w:bCs/>
                <w:szCs w:val="24"/>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5D217A">
              <w:rPr>
                <w:rFonts w:ascii="Bookman Old Style" w:hAnsi="Bookman Old Style" w:cs="Calibri"/>
                <w:b/>
                <w:szCs w:val="24"/>
                <w:u w:val="single"/>
              </w:rPr>
              <w:t>sus efectos nocivos y</w:t>
            </w:r>
            <w:r w:rsidRPr="00E606C3">
              <w:rPr>
                <w:rFonts w:ascii="Bookman Old Style" w:hAnsi="Bookman Old Style" w:cs="Calibri"/>
                <w:bCs/>
                <w:szCs w:val="24"/>
              </w:rPr>
              <w:t xml:space="preserve"> en favor de la recuperación de los enfermos dependientes o adictos.</w:t>
            </w:r>
          </w:p>
          <w:p w14:paraId="67F13DB5" w14:textId="77777777" w:rsidR="00E606C3" w:rsidRDefault="00E606C3" w:rsidP="00E606C3">
            <w:pPr>
              <w:ind w:left="29"/>
              <w:jc w:val="both"/>
              <w:rPr>
                <w:rFonts w:ascii="Bookman Old Style" w:hAnsi="Bookman Old Style" w:cs="Calibri"/>
                <w:b/>
                <w:szCs w:val="24"/>
                <w:u w:val="single"/>
              </w:rPr>
            </w:pPr>
          </w:p>
          <w:p w14:paraId="4DA8C247" w14:textId="3BA9460D" w:rsidR="00F36280" w:rsidRPr="00706B77" w:rsidRDefault="00E606C3" w:rsidP="00E606C3">
            <w:pPr>
              <w:ind w:left="29"/>
              <w:jc w:val="both"/>
              <w:rPr>
                <w:rFonts w:ascii="Bookman Old Style" w:hAnsi="Bookman Old Style" w:cs="Calibri"/>
                <w:b/>
                <w:szCs w:val="24"/>
                <w:u w:val="single"/>
                <w:lang w:val="es-ES_tradnl"/>
              </w:rPr>
            </w:pPr>
            <w:r w:rsidRPr="00E606C3">
              <w:rPr>
                <w:rFonts w:ascii="Bookman Old Style" w:hAnsi="Bookman Old Style" w:cs="Calibri"/>
                <w:b/>
                <w:szCs w:val="24"/>
                <w:u w:val="single"/>
              </w:rPr>
              <w:t>Las entidades integrantes del Sistema Integral de Seguridad Social y sus prestadores garantizaran la aplicación de lo establecido en este artículo.</w:t>
            </w:r>
          </w:p>
        </w:tc>
      </w:tr>
      <w:bookmarkEnd w:id="6"/>
    </w:tbl>
    <w:p w14:paraId="3C83043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945392D" w14:textId="77777777" w:rsidR="00F36280" w:rsidRPr="00485CC5" w:rsidRDefault="00F36280" w:rsidP="00F36280">
      <w:pPr>
        <w:rPr>
          <w:rFonts w:ascii="Bookman Old Style" w:eastAsia="Calibri" w:hAnsi="Bookman Old Style" w:cs="Calibri"/>
          <w:szCs w:val="24"/>
        </w:rPr>
      </w:pPr>
    </w:p>
    <w:p w14:paraId="3FAF379C" w14:textId="77777777"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3FF5215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3A0D770D"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319D0324"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F8E58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2EA6563"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354065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0286883C"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E251D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0EE1C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79CC2791"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2816EDF9" w14:textId="77777777"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12B42C85"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70A8B97B" w14:textId="77777777" w:rsidR="005D217A" w:rsidRDefault="005D217A" w:rsidP="005D217A">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13E09CD8" w14:textId="77777777" w:rsidR="005D217A" w:rsidRDefault="005D217A" w:rsidP="005D217A">
      <w:pPr>
        <w:jc w:val="both"/>
        <w:rPr>
          <w:rFonts w:ascii="Bookman Old Style" w:hAnsi="Bookman Old Style"/>
          <w:b/>
          <w:color w:val="000000" w:themeColor="text1"/>
        </w:rPr>
      </w:pPr>
    </w:p>
    <w:p w14:paraId="2AEDD95F" w14:textId="23304AF2" w:rsidR="005D217A" w:rsidRPr="00253221" w:rsidRDefault="005D217A" w:rsidP="005D217A">
      <w:pPr>
        <w:jc w:val="both"/>
        <w:rPr>
          <w:rFonts w:ascii="Bookman Old Style" w:hAnsi="Bookman Old Style"/>
          <w:b/>
          <w:color w:val="000000" w:themeColor="text1"/>
        </w:rPr>
      </w:pPr>
      <w:r>
        <w:rPr>
          <w:rFonts w:ascii="Bookman Old Style" w:hAnsi="Bookman Old Style"/>
          <w:b/>
          <w:color w:val="000000" w:themeColor="text1"/>
        </w:rPr>
        <w:t>10</w:t>
      </w:r>
      <w:r w:rsidRPr="00253221">
        <w:rPr>
          <w:rFonts w:ascii="Bookman Old Style" w:hAnsi="Bookman Old Style"/>
          <w:b/>
          <w:color w:val="000000" w:themeColor="text1"/>
        </w:rPr>
        <w:t>.1 CONSTITUCIONAL:</w:t>
      </w:r>
    </w:p>
    <w:p w14:paraId="01B8CF42" w14:textId="77777777" w:rsidR="005D217A" w:rsidRDefault="005D217A" w:rsidP="005D217A">
      <w:pPr>
        <w:contextualSpacing/>
        <w:jc w:val="both"/>
        <w:rPr>
          <w:rFonts w:ascii="Bookman Old Style" w:hAnsi="Bookman Old Style"/>
          <w:b/>
          <w:color w:val="000000" w:themeColor="text1"/>
        </w:rPr>
      </w:pPr>
    </w:p>
    <w:p w14:paraId="29F3BDDE"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06C7AB8C" w14:textId="77777777" w:rsidR="005D217A" w:rsidRDefault="005D217A" w:rsidP="005D217A">
      <w:pPr>
        <w:ind w:left="851"/>
        <w:contextualSpacing/>
        <w:jc w:val="both"/>
        <w:rPr>
          <w:rFonts w:ascii="Bookman Old Style" w:hAnsi="Bookman Old Style"/>
          <w:color w:val="000000" w:themeColor="text1"/>
        </w:rPr>
      </w:pPr>
    </w:p>
    <w:p w14:paraId="350CBF53"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4514A619" w14:textId="77777777" w:rsidR="005D217A" w:rsidRDefault="005D217A" w:rsidP="005D217A">
      <w:pPr>
        <w:ind w:left="851"/>
        <w:contextualSpacing/>
        <w:jc w:val="both"/>
        <w:rPr>
          <w:rFonts w:ascii="Bookman Old Style" w:hAnsi="Bookman Old Style"/>
          <w:color w:val="000000" w:themeColor="text1"/>
        </w:rPr>
      </w:pPr>
    </w:p>
    <w:p w14:paraId="4434E9D8"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3CFBD85D" w14:textId="77777777" w:rsidR="005D217A" w:rsidRPr="00F46028" w:rsidRDefault="005D217A" w:rsidP="005D217A">
      <w:pPr>
        <w:ind w:left="851"/>
        <w:contextualSpacing/>
        <w:jc w:val="both"/>
        <w:rPr>
          <w:rFonts w:ascii="Bookman Old Style" w:hAnsi="Bookman Old Style"/>
          <w:color w:val="000000" w:themeColor="text1"/>
        </w:rPr>
      </w:pPr>
    </w:p>
    <w:p w14:paraId="24A839E9"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64C2561E" w14:textId="77777777" w:rsidR="005D217A" w:rsidRPr="00F46028" w:rsidRDefault="005D217A" w:rsidP="005D217A">
      <w:pPr>
        <w:pStyle w:val="Prrafodelista"/>
        <w:ind w:left="851"/>
        <w:jc w:val="both"/>
        <w:rPr>
          <w:rFonts w:ascii="Bookman Old Style" w:hAnsi="Bookman Old Style"/>
          <w:color w:val="000000" w:themeColor="text1"/>
        </w:rPr>
      </w:pPr>
    </w:p>
    <w:p w14:paraId="0E6E98C4"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43E73ED7" w14:textId="77777777" w:rsidR="005D217A" w:rsidRPr="00F46028" w:rsidRDefault="005D217A" w:rsidP="005D217A">
      <w:pPr>
        <w:pStyle w:val="Prrafodelista"/>
        <w:ind w:left="851"/>
        <w:jc w:val="both"/>
        <w:rPr>
          <w:rFonts w:ascii="Bookman Old Style" w:hAnsi="Bookman Old Style"/>
          <w:color w:val="000000" w:themeColor="text1"/>
        </w:rPr>
      </w:pPr>
    </w:p>
    <w:p w14:paraId="19629B52"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6ED4AC3" w14:textId="77777777" w:rsidR="005D217A" w:rsidRPr="00F46028" w:rsidRDefault="005D217A" w:rsidP="005D217A">
      <w:pPr>
        <w:pStyle w:val="Prrafodelista"/>
        <w:ind w:left="851"/>
        <w:jc w:val="both"/>
        <w:rPr>
          <w:rFonts w:ascii="Bookman Old Style" w:hAnsi="Bookman Old Style"/>
          <w:color w:val="000000" w:themeColor="text1"/>
        </w:rPr>
      </w:pPr>
    </w:p>
    <w:p w14:paraId="085A20F7" w14:textId="77777777" w:rsidR="005D217A" w:rsidRPr="007039DA"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04AF5C9B" w14:textId="77777777" w:rsidR="005D217A" w:rsidRPr="00F46028" w:rsidRDefault="005D217A" w:rsidP="005D217A">
      <w:pPr>
        <w:jc w:val="both"/>
        <w:rPr>
          <w:rFonts w:ascii="Bookman Old Style" w:hAnsi="Bookman Old Style"/>
          <w:b/>
          <w:color w:val="000000" w:themeColor="text1"/>
        </w:rPr>
      </w:pPr>
    </w:p>
    <w:p w14:paraId="5680549D" w14:textId="4193DB0A" w:rsidR="005D217A" w:rsidRPr="00253221" w:rsidRDefault="005D217A" w:rsidP="005D217A">
      <w:pPr>
        <w:jc w:val="both"/>
        <w:rPr>
          <w:rFonts w:ascii="Bookman Old Style" w:hAnsi="Bookman Old Style"/>
          <w:b/>
          <w:color w:val="000000" w:themeColor="text1"/>
          <w:u w:val="single"/>
        </w:rPr>
      </w:pPr>
      <w:r>
        <w:rPr>
          <w:rFonts w:ascii="Bookman Old Style" w:hAnsi="Bookman Old Style"/>
          <w:b/>
          <w:color w:val="000000" w:themeColor="text1"/>
        </w:rPr>
        <w:t xml:space="preserve">10.2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143AEE9E" w14:textId="77777777" w:rsidR="005D217A" w:rsidRPr="00A22CFE" w:rsidRDefault="005D217A" w:rsidP="005D217A">
      <w:pPr>
        <w:jc w:val="both"/>
        <w:rPr>
          <w:rFonts w:ascii="Bookman Old Style" w:hAnsi="Bookman Old Style"/>
          <w:b/>
          <w:color w:val="000000" w:themeColor="text1"/>
          <w:u w:val="single"/>
        </w:rPr>
      </w:pPr>
    </w:p>
    <w:p w14:paraId="33E0E63C" w14:textId="77777777" w:rsidR="005D217A" w:rsidRPr="00F46028" w:rsidRDefault="005D217A" w:rsidP="005D217A">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5ED6689" w14:textId="77777777" w:rsidR="005D217A" w:rsidRPr="00F46028" w:rsidRDefault="005D217A" w:rsidP="005D217A">
      <w:pPr>
        <w:ind w:left="851"/>
        <w:jc w:val="both"/>
        <w:rPr>
          <w:rFonts w:ascii="Bookman Old Style" w:hAnsi="Bookman Old Style"/>
          <w:b/>
          <w:color w:val="000000" w:themeColor="text1"/>
        </w:rPr>
      </w:pPr>
    </w:p>
    <w:p w14:paraId="0F836E57"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402CA78B" w14:textId="77777777" w:rsidR="005D217A" w:rsidRPr="00F46028" w:rsidRDefault="005D217A" w:rsidP="005D217A">
      <w:pPr>
        <w:ind w:left="851"/>
        <w:jc w:val="both"/>
        <w:rPr>
          <w:rFonts w:ascii="Bookman Old Style" w:hAnsi="Bookman Old Style"/>
          <w:i/>
          <w:color w:val="000000" w:themeColor="text1"/>
        </w:rPr>
      </w:pPr>
    </w:p>
    <w:p w14:paraId="0C245238"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6872F633" w14:textId="77777777" w:rsidR="005D217A" w:rsidRPr="00F46028" w:rsidRDefault="005D217A" w:rsidP="005D217A">
      <w:pPr>
        <w:ind w:left="851"/>
        <w:jc w:val="both"/>
        <w:rPr>
          <w:rFonts w:ascii="Bookman Old Style" w:hAnsi="Bookman Old Style"/>
          <w:i/>
          <w:color w:val="000000" w:themeColor="text1"/>
        </w:rPr>
      </w:pPr>
    </w:p>
    <w:p w14:paraId="1D5BE3C9"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693E6704" w14:textId="77777777" w:rsidR="005D217A" w:rsidRPr="00F46028" w:rsidRDefault="005D217A" w:rsidP="005D217A">
      <w:pPr>
        <w:ind w:left="851"/>
        <w:jc w:val="both"/>
        <w:rPr>
          <w:rFonts w:ascii="Bookman Old Style" w:hAnsi="Bookman Old Style"/>
          <w:i/>
          <w:color w:val="000000" w:themeColor="text1"/>
        </w:rPr>
      </w:pPr>
    </w:p>
    <w:p w14:paraId="1A02EBDB" w14:textId="77777777" w:rsidR="005D217A" w:rsidRPr="007039DA"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798EA6FA" w14:textId="77777777" w:rsidR="005D217A" w:rsidRDefault="005D217A" w:rsidP="005D217A">
      <w:pPr>
        <w:pStyle w:val="Ttulo2"/>
        <w:ind w:left="360"/>
        <w:rPr>
          <w:rFonts w:ascii="Bookman Old Style" w:eastAsia="Calibri" w:hAnsi="Bookman Old Style" w:cs="Calibri"/>
          <w:sz w:val="22"/>
          <w:szCs w:val="22"/>
        </w:rPr>
      </w:pPr>
    </w:p>
    <w:p w14:paraId="251CB399" w14:textId="4A960D72" w:rsidR="00726850" w:rsidRPr="001E18FE" w:rsidRDefault="00726850"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254AAE72" w14:textId="30DB56CC"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w:t>
      </w:r>
      <w:r w:rsidR="00C94B82" w:rsidRPr="001E18FE">
        <w:rPr>
          <w:rFonts w:ascii="Bookman Old Style" w:eastAsia="Calibri" w:hAnsi="Bookman Old Style" w:cs="Calibri"/>
          <w:b w:val="0"/>
          <w:sz w:val="22"/>
          <w:szCs w:val="22"/>
        </w:rPr>
        <w:t>cumplimiento a</w:t>
      </w:r>
      <w:r w:rsidRPr="001E18FE">
        <w:rPr>
          <w:rFonts w:ascii="Bookman Old Style" w:eastAsia="Calibri" w:hAnsi="Bookman Old Style" w:cs="Calibri"/>
          <w:b w:val="0"/>
          <w:sz w:val="22"/>
          <w:szCs w:val="22"/>
        </w:rPr>
        <w:t xml:space="preserve"> lo establecido en el artículo 3 de la Ley 2003 del 19 de noviembre de 2019, por la cual se modifica parcialmente la Ley 5 de 1992, se hacen las siguientes consideraciones: </w:t>
      </w:r>
    </w:p>
    <w:p w14:paraId="3D131392" w14:textId="77777777" w:rsidR="00726850" w:rsidRDefault="00726850" w:rsidP="001E18FE">
      <w:pPr>
        <w:pStyle w:val="Ttulo2"/>
        <w:ind w:left="0"/>
        <w:rPr>
          <w:rFonts w:ascii="Bookman Old Style" w:eastAsia="Calibri" w:hAnsi="Bookman Old Style" w:cs="Calibri"/>
          <w:b w:val="0"/>
          <w:sz w:val="22"/>
          <w:szCs w:val="22"/>
        </w:rPr>
      </w:pPr>
    </w:p>
    <w:p w14:paraId="1FE29ECF"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53F32BB6" w14:textId="77777777" w:rsidR="00726850" w:rsidRDefault="00726850" w:rsidP="001E18FE">
      <w:pPr>
        <w:pStyle w:val="Ttulo2"/>
        <w:ind w:left="0"/>
        <w:jc w:val="both"/>
        <w:rPr>
          <w:rFonts w:ascii="Bookman Old Style" w:eastAsia="Calibri" w:hAnsi="Bookman Old Style" w:cs="Calibri"/>
          <w:b w:val="0"/>
          <w:sz w:val="22"/>
          <w:szCs w:val="22"/>
        </w:rPr>
      </w:pPr>
    </w:p>
    <w:p w14:paraId="32E0CE05"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54C54AE" w14:textId="77777777" w:rsidR="00726850" w:rsidRDefault="00726850" w:rsidP="001E18FE">
      <w:pPr>
        <w:pStyle w:val="Ttulo2"/>
        <w:ind w:left="0"/>
        <w:rPr>
          <w:rFonts w:ascii="Bookman Old Style" w:eastAsia="Calibri" w:hAnsi="Bookman Old Style" w:cs="Calibri"/>
          <w:b w:val="0"/>
          <w:sz w:val="22"/>
          <w:szCs w:val="22"/>
        </w:rPr>
      </w:pPr>
    </w:p>
    <w:p w14:paraId="0C598044" w14:textId="77777777"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09A574A" w14:textId="77777777" w:rsidR="00726850" w:rsidRPr="001E18FE" w:rsidRDefault="00726850" w:rsidP="001E18FE">
      <w:pPr>
        <w:rPr>
          <w:rFonts w:eastAsia="Calibri"/>
        </w:rPr>
      </w:pPr>
    </w:p>
    <w:p w14:paraId="1C13A0A1"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380605CC" w14:textId="77777777" w:rsidR="00726850" w:rsidRDefault="00726850" w:rsidP="001E18FE">
      <w:pPr>
        <w:pStyle w:val="Ttulo2"/>
        <w:ind w:left="0"/>
        <w:rPr>
          <w:rFonts w:ascii="Bookman Old Style" w:eastAsia="Calibri" w:hAnsi="Bookman Old Style" w:cs="Calibri"/>
          <w:b w:val="0"/>
          <w:sz w:val="22"/>
          <w:szCs w:val="22"/>
        </w:rPr>
      </w:pPr>
    </w:p>
    <w:p w14:paraId="5A193D9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155DE6CA" w14:textId="77777777" w:rsidR="00726850" w:rsidRPr="001E18FE" w:rsidRDefault="00726850" w:rsidP="00A21D0F">
      <w:pPr>
        <w:ind w:left="851" w:right="900"/>
        <w:rPr>
          <w:rFonts w:eastAsia="Calibri"/>
          <w:i/>
        </w:rPr>
      </w:pPr>
    </w:p>
    <w:p w14:paraId="4E6B87A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E41162D"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71FC6867"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7B3E3020"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1BC92D72"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0FE11E99" w14:textId="77777777" w:rsidR="00726850" w:rsidRDefault="00726850" w:rsidP="00A21D0F">
      <w:pPr>
        <w:pStyle w:val="Ttulo2"/>
        <w:ind w:left="851" w:right="900"/>
        <w:jc w:val="both"/>
        <w:rPr>
          <w:rFonts w:ascii="Bookman Old Style" w:eastAsia="Calibri" w:hAnsi="Bookman Old Style" w:cs="Calibri"/>
          <w:b w:val="0"/>
          <w:sz w:val="22"/>
          <w:szCs w:val="22"/>
        </w:rPr>
      </w:pPr>
    </w:p>
    <w:p w14:paraId="4A5F7F31"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1104533" w14:textId="77777777" w:rsidR="00726850" w:rsidRPr="001E18FE" w:rsidRDefault="00726850" w:rsidP="001E18FE">
      <w:pPr>
        <w:rPr>
          <w:rFonts w:eastAsia="Calibri"/>
        </w:rPr>
      </w:pPr>
    </w:p>
    <w:p w14:paraId="483B90B7" w14:textId="777777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20"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21"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22"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23"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33B23D6"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w:t>
      </w:r>
      <w:r w:rsidR="002548C6" w:rsidRPr="00B61122">
        <w:rPr>
          <w:rFonts w:ascii="Bookman Old Style" w:eastAsia="Calibri" w:hAnsi="Bookman Old Style"/>
          <w:i/>
          <w:sz w:val="16"/>
          <w:szCs w:val="16"/>
        </w:rPr>
        <w:t>,” El</w:t>
      </w:r>
      <w:r w:rsidRPr="00B61122">
        <w:rPr>
          <w:rFonts w:ascii="Bookman Old Style" w:eastAsia="Calibri" w:hAnsi="Bookman Old Style"/>
          <w:i/>
          <w:sz w:val="16"/>
          <w:szCs w:val="16"/>
        </w:rPr>
        <w:t xml:space="preserve"> consumo de SPA en colombia”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455EC4CA" w14:textId="77777777" w:rsidR="00B61122" w:rsidRPr="00B61122" w:rsidRDefault="00B61122" w:rsidP="00B61122">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4" w:history="1">
        <w:r w:rsidRPr="00B61122">
          <w:rPr>
            <w:rStyle w:val="Hipervnculo"/>
            <w:rFonts w:ascii="Bookman Old Style" w:hAnsi="Bookman Old Style" w:cs="Times New Roman"/>
            <w:i/>
            <w:color w:val="auto"/>
            <w:sz w:val="16"/>
            <w:szCs w:val="16"/>
            <w:u w:val="none"/>
          </w:rPr>
          <w:t>http://www.prisonstudies.org/country/colombia</w:t>
        </w:r>
      </w:hyperlink>
    </w:p>
    <w:p w14:paraId="5FB059D0" w14:textId="77777777" w:rsidR="00FB38D7" w:rsidRPr="00E819E1" w:rsidRDefault="00FB38D7" w:rsidP="00A21D0F">
      <w:pPr>
        <w:jc w:val="both"/>
        <w:rPr>
          <w:rFonts w:ascii="Bookman Old Style" w:eastAsia="Calibri" w:hAnsi="Bookman Old Style" w:cs="Calibri"/>
          <w:i/>
          <w:sz w:val="18"/>
        </w:rPr>
        <w:sectPr w:rsidR="00FB38D7" w:rsidRPr="00E819E1" w:rsidSect="00267BD5">
          <w:headerReference w:type="default" r:id="rId25"/>
          <w:footerReference w:type="default" r:id="rId26"/>
          <w:pgSz w:w="12240" w:h="15840" w:code="1"/>
          <w:pgMar w:top="1417" w:right="1701" w:bottom="1417" w:left="1701" w:header="680" w:footer="680" w:gutter="0"/>
          <w:pgNumType w:start="1"/>
          <w:cols w:space="720"/>
          <w:docGrid w:linePitch="299"/>
        </w:sectPr>
      </w:pPr>
    </w:p>
    <w:p w14:paraId="0B727800" w14:textId="77777777"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type w:val="continuous"/>
          <w:pgSz w:w="12240" w:h="15840"/>
          <w:pgMar w:top="1940" w:right="1580" w:bottom="2080" w:left="2905" w:header="708" w:footer="1893" w:gutter="0"/>
          <w:cols w:space="720"/>
        </w:sectPr>
      </w:pPr>
    </w:p>
    <w:p w14:paraId="53AE37B4" w14:textId="0280AFB2" w:rsidR="00366E17" w:rsidRDefault="00366E17" w:rsidP="00A21D0F">
      <w:pPr>
        <w:rPr>
          <w:rFonts w:ascii="Bookman Old Style" w:eastAsia="Calibri" w:hAnsi="Bookman Old Style" w:cs="Calibri"/>
          <w:color w:val="000000"/>
          <w:szCs w:val="24"/>
          <w:highlight w:val="white"/>
        </w:rPr>
      </w:pPr>
    </w:p>
    <w:p w14:paraId="2B5DD0A2" w14:textId="4919A0A8" w:rsidR="00EE71AD" w:rsidRDefault="00EE71AD" w:rsidP="00A21D0F">
      <w:pPr>
        <w:rPr>
          <w:rFonts w:ascii="Bookman Old Style" w:eastAsia="Calibri" w:hAnsi="Bookman Old Style" w:cs="Calibri"/>
          <w:color w:val="000000"/>
          <w:szCs w:val="24"/>
          <w:highlight w:val="white"/>
        </w:rPr>
      </w:pPr>
    </w:p>
    <w:p w14:paraId="773523A5" w14:textId="77777777" w:rsidR="00EE71AD" w:rsidRDefault="00EE71AD" w:rsidP="00A21D0F">
      <w:pPr>
        <w:rPr>
          <w:rFonts w:ascii="Bookman Old Style" w:eastAsia="Calibri" w:hAnsi="Bookman Old Style" w:cs="Calibri"/>
          <w:color w:val="000000"/>
          <w:szCs w:val="24"/>
          <w:highlight w:val="white"/>
        </w:rPr>
      </w:pPr>
    </w:p>
    <w:p w14:paraId="32ECAF87" w14:textId="45A0DAE7" w:rsidR="00011ACE" w:rsidRDefault="005A0028" w:rsidP="004D2009">
      <w:pPr>
        <w:ind w:hanging="567"/>
        <w:rPr>
          <w:rFonts w:ascii="Bookman Old Style" w:eastAsia="Calibri" w:hAnsi="Bookman Old Style" w:cs="Calibri"/>
          <w:color w:val="000000"/>
          <w:szCs w:val="24"/>
        </w:rPr>
      </w:pPr>
      <w:r w:rsidRPr="00F06C98">
        <w:rPr>
          <w:rFonts w:ascii="Bookman Old Style" w:eastAsia="Calibri" w:hAnsi="Bookman Old Style" w:cs="Calibri"/>
          <w:color w:val="000000"/>
          <w:szCs w:val="24"/>
          <w:highlight w:val="white"/>
        </w:rPr>
        <w:t xml:space="preserve">De los honorables congresistas, </w:t>
      </w:r>
    </w:p>
    <w:p w14:paraId="1FC80547" w14:textId="63B75B23" w:rsidR="004D2009" w:rsidRDefault="004D2009" w:rsidP="004D2009">
      <w:pPr>
        <w:ind w:hanging="567"/>
        <w:rPr>
          <w:rFonts w:ascii="Bookman Old Style" w:eastAsia="Calibri" w:hAnsi="Bookman Old Style" w:cs="Calibri"/>
          <w:color w:val="000000"/>
          <w:szCs w:val="24"/>
        </w:rPr>
      </w:pPr>
    </w:p>
    <w:p w14:paraId="35D74837" w14:textId="07C6D54E" w:rsidR="004D2009" w:rsidRDefault="004D2009" w:rsidP="004D2009">
      <w:pPr>
        <w:rPr>
          <w:rFonts w:ascii="Bookman Old Style" w:hAnsi="Bookman Old Style" w:cstheme="minorHAnsi"/>
          <w:b/>
        </w:rPr>
      </w:pPr>
    </w:p>
    <w:p w14:paraId="71F1D179" w14:textId="77777777" w:rsidR="004D2009" w:rsidRDefault="004D2009" w:rsidP="004D2009">
      <w:pPr>
        <w:rPr>
          <w:rFonts w:ascii="Bookman Old Style" w:hAnsi="Bookman Old Style" w:cstheme="minorHAnsi"/>
          <w:b/>
        </w:rPr>
      </w:pPr>
    </w:p>
    <w:p w14:paraId="1EFA3927" w14:textId="77777777" w:rsidR="004D2009" w:rsidRDefault="004D2009" w:rsidP="004D2009">
      <w:pPr>
        <w:rPr>
          <w:rFonts w:ascii="Bookman Old Style" w:hAnsi="Bookman Old Style" w:cstheme="minorHAnsi"/>
          <w:b/>
        </w:rPr>
      </w:pPr>
    </w:p>
    <w:p w14:paraId="006F587A"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4AA1E27D"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3F7AA8A8" w14:textId="77777777"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5FA512C4" w14:textId="77777777" w:rsidR="004D2009" w:rsidRPr="00485CC5" w:rsidRDefault="004D2009" w:rsidP="004D2009">
      <w:pPr>
        <w:jc w:val="center"/>
        <w:rPr>
          <w:rFonts w:ascii="Bookman Old Style" w:hAnsi="Bookman Old Style" w:cstheme="minorHAnsi"/>
          <w:b/>
        </w:rPr>
      </w:pPr>
    </w:p>
    <w:p w14:paraId="5ACDCBF5"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24165F48"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D18B40F"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7C056B4"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78CAF428" w14:textId="77777777" w:rsidR="004D2009" w:rsidRPr="004D2009" w:rsidRDefault="004D2009" w:rsidP="004D2009">
      <w:pPr>
        <w:widowControl/>
        <w:spacing w:after="240"/>
        <w:rPr>
          <w:color w:val="000000"/>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38"/>
        <w:gridCol w:w="4100"/>
      </w:tblGrid>
      <w:tr w:rsidR="000270E3" w:rsidRPr="000270E3" w14:paraId="778419D8"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A4B2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VEGA PÉREZ</w:t>
            </w:r>
          </w:p>
          <w:p w14:paraId="1C92A53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0D8D45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80C7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DAVID LÓPEZ TENORIO</w:t>
            </w:r>
          </w:p>
          <w:p w14:paraId="21E3F84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Valle del Cauca</w:t>
            </w:r>
          </w:p>
          <w:p w14:paraId="41B929C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0270E3" w:rsidRPr="000270E3" w14:paraId="30946D4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64E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JAIME RODRIGUEZ CONTRERAS</w:t>
            </w:r>
          </w:p>
          <w:p w14:paraId="388C18C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19F9E3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4F9C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6F6FD6E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0270E3" w:rsidRPr="000270E3" w14:paraId="0D1A848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1255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7D717D2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05DBFE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A494" w14:textId="77777777" w:rsidR="000270E3" w:rsidRPr="000270E3" w:rsidRDefault="000270E3" w:rsidP="00F067D5">
            <w:pPr>
              <w:widowControl/>
              <w:spacing w:after="240"/>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PEINADO RAMÍREZ</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Representante a la Cámara</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Departamento de Antioquia</w:t>
            </w:r>
          </w:p>
          <w:p w14:paraId="09EABB27"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0C8A51CB"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B4C8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429442F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CDAE396" w14:textId="77777777" w:rsidR="000270E3" w:rsidRPr="000270E3" w:rsidRDefault="000270E3" w:rsidP="00F067D5">
            <w:pPr>
              <w:widowControl/>
              <w:spacing w:after="20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DF1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06D12B6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17B26C0" w14:textId="77777777" w:rsidR="000270E3" w:rsidRPr="000270E3" w:rsidRDefault="000270E3" w:rsidP="00F067D5">
            <w:pPr>
              <w:widowControl/>
              <w:rPr>
                <w:rFonts w:ascii="Bookman Old Style" w:hAnsi="Bookman Old Style"/>
                <w:sz w:val="20"/>
                <w:szCs w:val="20"/>
                <w:lang w:eastAsia="es-MX"/>
              </w:rPr>
            </w:pPr>
          </w:p>
        </w:tc>
      </w:tr>
      <w:tr w:rsidR="000270E3" w:rsidRPr="000270E3" w14:paraId="4BE5295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09B82"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480A9DF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5A5C1C52"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76A1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096D578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2C2F2B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0270E3" w:rsidRPr="000270E3" w14:paraId="3ECE820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F116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0CFB2B0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1AAE957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9D67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2C958F5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0A7C21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597ECC7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F999F" w14:textId="77777777" w:rsidR="000270E3" w:rsidRPr="000270E3" w:rsidRDefault="000270E3" w:rsidP="00F067D5">
            <w:pPr>
              <w:widowControl/>
              <w:rPr>
                <w:rFonts w:ascii="Bookman Old Style" w:hAnsi="Bookman Old Style"/>
                <w:sz w:val="20"/>
                <w:szCs w:val="20"/>
                <w:lang w:eastAsia="es-MX"/>
              </w:rPr>
            </w:pPr>
          </w:p>
          <w:p w14:paraId="55951B7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544C632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11839ED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24EC5" w14:textId="77777777" w:rsidR="000270E3" w:rsidRPr="000270E3" w:rsidRDefault="000270E3" w:rsidP="00F067D5">
            <w:pPr>
              <w:widowControl/>
              <w:rPr>
                <w:rFonts w:ascii="Bookman Old Style" w:hAnsi="Bookman Old Style"/>
                <w:sz w:val="20"/>
                <w:szCs w:val="20"/>
                <w:lang w:eastAsia="es-MX"/>
              </w:rPr>
            </w:pPr>
          </w:p>
          <w:p w14:paraId="19447DD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739B486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2735E42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0270E3" w:rsidRPr="000270E3" w14:paraId="10867FC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5D2D4" w14:textId="77777777" w:rsidR="000270E3" w:rsidRPr="000270E3" w:rsidRDefault="000270E3" w:rsidP="00F067D5">
            <w:pPr>
              <w:widowControl/>
              <w:rPr>
                <w:rFonts w:ascii="Bookman Old Style" w:hAnsi="Bookman Old Style"/>
                <w:sz w:val="20"/>
                <w:szCs w:val="20"/>
                <w:lang w:eastAsia="es-MX"/>
              </w:rPr>
            </w:pPr>
          </w:p>
          <w:p w14:paraId="73260FA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1633E85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064332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72A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4EDE09B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3727E4E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0270E3" w:rsidRPr="000270E3" w14:paraId="7FAE18D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12F7E" w14:textId="77777777" w:rsidR="000270E3" w:rsidRPr="000270E3" w:rsidRDefault="000270E3" w:rsidP="00F067D5">
            <w:pPr>
              <w:widowControl/>
              <w:rPr>
                <w:rFonts w:ascii="Bookman Old Style" w:hAnsi="Bookman Old Style"/>
                <w:sz w:val="20"/>
                <w:szCs w:val="20"/>
                <w:lang w:eastAsia="es-MX"/>
              </w:rPr>
            </w:pPr>
          </w:p>
          <w:p w14:paraId="63E7B6B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4B5937F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38C4BC0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DFBFB" w14:textId="77777777" w:rsidR="000270E3" w:rsidRPr="000270E3" w:rsidRDefault="000270E3" w:rsidP="00F067D5">
            <w:pPr>
              <w:widowControl/>
              <w:jc w:val="center"/>
              <w:rPr>
                <w:rFonts w:ascii="Bookman Old Style" w:hAnsi="Bookman Old Style"/>
                <w:sz w:val="20"/>
                <w:szCs w:val="20"/>
                <w:lang w:eastAsia="es-MX"/>
              </w:rPr>
            </w:pPr>
          </w:p>
          <w:p w14:paraId="0C68C92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2AFA293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5A0B544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0F15742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AD3A7"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3596A3A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6F12274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267972D6" w14:textId="77777777" w:rsidR="000270E3" w:rsidRPr="000270E3" w:rsidRDefault="000270E3"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3D7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0E3D707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660F8F1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7DF06E3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BC13B87"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2CB6E53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5A1EF" w14:textId="77777777" w:rsidR="000270E3" w:rsidRPr="000270E3" w:rsidRDefault="000270E3" w:rsidP="00F067D5">
            <w:pPr>
              <w:pStyle w:val="NormalWeb"/>
              <w:spacing w:before="0" w:beforeAutospacing="0" w:after="0" w:afterAutospacing="0"/>
              <w:rPr>
                <w:rFonts w:ascii="Bookman Old Style" w:hAnsi="Bookman Old Style"/>
                <w:b/>
                <w:bCs/>
                <w:color w:val="000000"/>
                <w:sz w:val="20"/>
                <w:szCs w:val="20"/>
              </w:rPr>
            </w:pPr>
          </w:p>
          <w:p w14:paraId="69F2164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074D947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46443CB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62C86C4A" w14:textId="77777777" w:rsid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1F81999E" w14:textId="77777777" w:rsid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42DA22E1" w14:textId="3DEF46F2"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E8E1"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4A8AE31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4D36E40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DD62E31"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0270E3" w:rsidRPr="000270E3" w14:paraId="4F9E00B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55463"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3903442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4D59DB6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0B425BA8"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E4B9"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4ECD328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311803B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01525BF2"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0270E3" w:rsidRPr="000270E3" w14:paraId="495FDA74"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D85D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7F54012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54BD788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03C4DB6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155F" w14:textId="77777777" w:rsidR="000270E3" w:rsidRPr="000270E3" w:rsidRDefault="000270E3" w:rsidP="00F067D5">
            <w:pPr>
              <w:pStyle w:val="NormalWeb"/>
              <w:spacing w:before="0" w:beforeAutospacing="0" w:after="0" w:afterAutospacing="0"/>
              <w:rPr>
                <w:rFonts w:ascii="Bookman Old Style" w:hAnsi="Bookman Old Style"/>
                <w:sz w:val="20"/>
                <w:szCs w:val="20"/>
              </w:rPr>
            </w:pPr>
          </w:p>
          <w:p w14:paraId="3A3D9E07"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p>
          <w:p w14:paraId="68E43514"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15D5257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D0C3BD3" w14:textId="77777777" w:rsidR="000270E3" w:rsidRPr="000270E3" w:rsidRDefault="000270E3" w:rsidP="00F067D5">
            <w:pPr>
              <w:spacing w:after="240"/>
              <w:rPr>
                <w:rFonts w:ascii="Bookman Old Style" w:hAnsi="Bookman Old Style"/>
                <w:sz w:val="20"/>
                <w:szCs w:val="20"/>
              </w:rPr>
            </w:pPr>
          </w:p>
        </w:tc>
      </w:tr>
      <w:tr w:rsidR="000270E3" w:rsidRPr="000270E3" w14:paraId="509CDA0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C74F2" w14:textId="77777777" w:rsidR="000270E3" w:rsidRPr="000270E3" w:rsidRDefault="000270E3" w:rsidP="00F067D5">
            <w:pPr>
              <w:pStyle w:val="NormalWeb"/>
              <w:spacing w:before="0" w:beforeAutospacing="0" w:after="0" w:afterAutospacing="0"/>
              <w:jc w:val="both"/>
              <w:rPr>
                <w:rFonts w:ascii="Bookman Old Style" w:hAnsi="Bookman Old Style"/>
                <w:sz w:val="20"/>
                <w:szCs w:val="20"/>
              </w:rPr>
            </w:pPr>
          </w:p>
          <w:p w14:paraId="792F5BD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CATHERINE JUVINAO CLAVIJO</w:t>
            </w:r>
          </w:p>
          <w:p w14:paraId="28E2ADDB"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1B347C4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47919CB2"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522C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6983ABB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DOLCEY OSCAR TORRES ROMERO</w:t>
            </w:r>
          </w:p>
          <w:p w14:paraId="7B5E941E"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7665358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23C3C5AD" w14:textId="77777777" w:rsidR="000270E3" w:rsidRPr="000270E3" w:rsidRDefault="000270E3" w:rsidP="00F067D5">
            <w:pPr>
              <w:rPr>
                <w:rFonts w:ascii="Bookman Old Style" w:hAnsi="Bookman Old Style"/>
                <w:sz w:val="20"/>
                <w:szCs w:val="20"/>
              </w:rPr>
            </w:pPr>
          </w:p>
          <w:p w14:paraId="28834FE5" w14:textId="77777777" w:rsidR="000270E3" w:rsidRPr="000270E3" w:rsidRDefault="000270E3" w:rsidP="00F067D5">
            <w:pPr>
              <w:rPr>
                <w:rFonts w:ascii="Bookman Old Style" w:hAnsi="Bookman Old Style"/>
                <w:sz w:val="20"/>
                <w:szCs w:val="20"/>
              </w:rPr>
            </w:pPr>
          </w:p>
        </w:tc>
      </w:tr>
      <w:tr w:rsidR="000270E3" w:rsidRPr="000270E3" w14:paraId="24605F5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6516F"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p w14:paraId="6C4EDCF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287F370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p w14:paraId="336E34C0" w14:textId="77777777" w:rsidR="000270E3" w:rsidRPr="000270E3" w:rsidRDefault="000270E3" w:rsidP="00F067D5">
            <w:pPr>
              <w:rPr>
                <w:rFonts w:ascii="Bookman Old Style" w:hAnsi="Bookman Old Style"/>
                <w:sz w:val="20"/>
                <w:szCs w:val="20"/>
              </w:rPr>
            </w:pPr>
          </w:p>
          <w:p w14:paraId="25EA683E" w14:textId="77777777" w:rsidR="000270E3" w:rsidRPr="000270E3" w:rsidRDefault="000270E3"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D8BC" w14:textId="77777777" w:rsidR="000270E3" w:rsidRPr="000270E3" w:rsidRDefault="000270E3" w:rsidP="00F067D5">
            <w:pPr>
              <w:rPr>
                <w:rFonts w:ascii="Bookman Old Style" w:hAnsi="Bookman Old Style"/>
                <w:sz w:val="20"/>
                <w:szCs w:val="20"/>
              </w:rPr>
            </w:pPr>
          </w:p>
        </w:tc>
      </w:tr>
    </w:tbl>
    <w:p w14:paraId="46AB548C" w14:textId="77777777" w:rsidR="004D2009" w:rsidRDefault="004D2009" w:rsidP="004D2009">
      <w:pPr>
        <w:ind w:hanging="567"/>
        <w:rPr>
          <w:rFonts w:ascii="Bookman Old Style" w:eastAsia="Calibri" w:hAnsi="Bookman Old Style" w:cs="Calibri"/>
          <w:color w:val="000000"/>
          <w:szCs w:val="24"/>
        </w:rPr>
      </w:pPr>
    </w:p>
    <w:sectPr w:rsidR="004D2009"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3B2A" w14:textId="77777777" w:rsidR="00856688" w:rsidRDefault="00856688">
      <w:r>
        <w:separator/>
      </w:r>
    </w:p>
  </w:endnote>
  <w:endnote w:type="continuationSeparator" w:id="0">
    <w:p w14:paraId="1D2194E7" w14:textId="77777777" w:rsidR="00856688" w:rsidRDefault="0085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63BE7199" w14:textId="018519F3" w:rsidR="00C04E96" w:rsidRDefault="00C04E96" w:rsidP="006C0501">
            <w:pPr>
              <w:pStyle w:val="Piedepgina"/>
              <w:ind w:left="-1701"/>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235DF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35DF2">
              <w:rPr>
                <w:b/>
                <w:bCs/>
                <w:noProof/>
              </w:rPr>
              <w:t>3</w:t>
            </w:r>
            <w:r>
              <w:rPr>
                <w:b/>
                <w:bCs/>
                <w:sz w:val="24"/>
                <w:szCs w:val="24"/>
              </w:rPr>
              <w:fldChar w:fldCharType="end"/>
            </w:r>
          </w:p>
        </w:sdtContent>
      </w:sdt>
    </w:sdtContent>
  </w:sdt>
  <w:p w14:paraId="1C18F578" w14:textId="77777777" w:rsidR="00C04E96" w:rsidRDefault="00C04E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65F6" w14:textId="77777777" w:rsidR="00856688" w:rsidRDefault="00856688">
      <w:r>
        <w:separator/>
      </w:r>
    </w:p>
  </w:footnote>
  <w:footnote w:type="continuationSeparator" w:id="0">
    <w:p w14:paraId="423D2A7B" w14:textId="77777777" w:rsidR="00856688" w:rsidRDefault="00856688">
      <w:r>
        <w:continuationSeparator/>
      </w:r>
    </w:p>
  </w:footnote>
  <w:footnote w:id="1">
    <w:p w14:paraId="67A56B10"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500942EB"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012BB373" w14:textId="77777777" w:rsidR="00153AC4" w:rsidRPr="000A2331" w:rsidRDefault="00153AC4" w:rsidP="00153AC4">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48FE2C7" w14:textId="77777777" w:rsidR="00153AC4" w:rsidRPr="000A2331" w:rsidRDefault="00153AC4" w:rsidP="00153AC4">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016C0C91" w14:textId="607ED0D1" w:rsidR="000512D5" w:rsidRPr="000512D5" w:rsidRDefault="000512D5" w:rsidP="006127F0">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5A39EF00" w14:textId="3EDABED4" w:rsidR="00C04E96" w:rsidRPr="002C010E" w:rsidRDefault="00C04E96" w:rsidP="00F36280">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w:t>
      </w:r>
      <w:r w:rsidR="000C074B" w:rsidRPr="002C010E">
        <w:rPr>
          <w:rFonts w:ascii="Bookman Old Style" w:hAnsi="Bookman Old Style"/>
          <w:i/>
          <w:sz w:val="14"/>
          <w:szCs w:val="14"/>
        </w:rPr>
        <w:t xml:space="preserve">Sentencia C-253 de 2019, </w:t>
      </w:r>
      <w:r w:rsidRPr="002C010E">
        <w:rPr>
          <w:rFonts w:ascii="Bookman Old Style" w:hAnsi="Bookman Old Style"/>
          <w:i/>
          <w:sz w:val="14"/>
          <w:szCs w:val="14"/>
        </w:rPr>
        <w:t>Corte Constitucional</w:t>
      </w:r>
    </w:p>
  </w:footnote>
  <w:footnote w:id="7">
    <w:p w14:paraId="694DA8C3" w14:textId="1B9A82B3" w:rsidR="00D318E3" w:rsidRPr="00D318E3" w:rsidRDefault="00D318E3">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Ibidem.</w:t>
      </w:r>
    </w:p>
  </w:footnote>
  <w:footnote w:id="8">
    <w:p w14:paraId="4B078CD0" w14:textId="551D60F1" w:rsidR="002C010E" w:rsidRPr="001D5D7C" w:rsidRDefault="002C010E">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Ibidem.</w:t>
      </w:r>
    </w:p>
  </w:footnote>
  <w:footnote w:id="9">
    <w:p w14:paraId="243D2A5E" w14:textId="20BD06F4" w:rsidR="00A43FAE" w:rsidRPr="001D5D7C" w:rsidRDefault="00A43FAE">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14:paraId="6B1F414D" w14:textId="77777777" w:rsidR="00780580" w:rsidRPr="000A2331" w:rsidRDefault="00780580"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14:paraId="2919132C"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14:paraId="42013D8D"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14:paraId="44A31766" w14:textId="77777777" w:rsidR="00780580" w:rsidRPr="000A2331" w:rsidRDefault="00780580" w:rsidP="006127F0">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14:paraId="3FC58157"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14:paraId="16FFC5EB"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14:paraId="6D587DA5"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14:paraId="76D90266" w14:textId="77777777" w:rsidR="00780580" w:rsidRPr="000A2331" w:rsidRDefault="00780580" w:rsidP="0078058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8">
    <w:p w14:paraId="7E3DECC6" w14:textId="77777777" w:rsidR="00780580" w:rsidRPr="00FE4E72" w:rsidRDefault="00780580" w:rsidP="00780580">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14:paraId="28B17386" w14:textId="77777777" w:rsidR="00780580" w:rsidRPr="00FE4E72" w:rsidRDefault="00780580" w:rsidP="00780580">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FE4E72">
        <w:rPr>
          <w:rFonts w:ascii="Bookman Old Style" w:hAnsi="Bookman Old Style" w:cs="Times New Roman"/>
          <w:i/>
          <w:sz w:val="14"/>
          <w:szCs w:val="14"/>
          <w:lang w:val="en-US"/>
        </w:rPr>
        <w:t xml:space="preserve"> Ibidem.</w:t>
      </w:r>
    </w:p>
  </w:footnote>
  <w:footnote w:id="20">
    <w:p w14:paraId="3AA99E71" w14:textId="77777777" w:rsidR="00780580" w:rsidRPr="000A2331" w:rsidRDefault="00780580" w:rsidP="0078058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14:paraId="183028D3" w14:textId="77777777" w:rsidR="00780580" w:rsidRPr="00207603" w:rsidRDefault="00780580" w:rsidP="0078058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2">
    <w:p w14:paraId="0A9ADCFB"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14:paraId="721C30BE" w14:textId="77777777" w:rsidR="00780580" w:rsidRPr="000A2331" w:rsidRDefault="00780580" w:rsidP="006127F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4">
    <w:p w14:paraId="3E86E5A1"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14:paraId="58242E06"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14:paraId="49F00C41" w14:textId="3A57F0D8" w:rsidR="00705BAC" w:rsidRPr="001D5D7C" w:rsidRDefault="00705BAC">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14:paraId="7F068287"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14:paraId="37CA79E4"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14:paraId="6DB2FB9D"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14:paraId="066BA36F" w14:textId="77777777" w:rsidR="00780580" w:rsidRPr="00207603" w:rsidRDefault="00780580" w:rsidP="006127F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31">
    <w:p w14:paraId="6A69944A"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14:paraId="6F6AD936"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14:paraId="711BCFE5"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14:paraId="530377F4" w14:textId="77777777" w:rsidR="00780580" w:rsidRPr="00207603" w:rsidRDefault="00780580" w:rsidP="006127F0">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14:paraId="471DBDE8"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6">
    <w:p w14:paraId="5B0B4732" w14:textId="77777777" w:rsidR="00780580" w:rsidRPr="00EE71AD" w:rsidRDefault="00780580" w:rsidP="006127F0">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14:paraId="5AB721CE" w14:textId="77777777" w:rsidR="00780580" w:rsidRPr="00207603" w:rsidRDefault="00780580" w:rsidP="006127F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14:paraId="3E98B11B"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14:paraId="02CF276A"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14:paraId="6027AF60" w14:textId="77777777" w:rsidR="00780580" w:rsidRPr="00207603" w:rsidRDefault="00780580" w:rsidP="0078058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14:paraId="6D7FD39C" w14:textId="77777777" w:rsidR="00780580" w:rsidRPr="00EE71AD" w:rsidRDefault="00780580" w:rsidP="007805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42">
    <w:p w14:paraId="5BE6016E" w14:textId="77777777" w:rsidR="00780580" w:rsidRPr="00EE71AD" w:rsidRDefault="00780580" w:rsidP="008D6C03">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43">
    <w:p w14:paraId="21D1B93F"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4">
    <w:p w14:paraId="05BC6907"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14:paraId="2F98795C" w14:textId="77777777" w:rsidR="00291DEF" w:rsidRPr="00207603"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6">
    <w:p w14:paraId="07747F04" w14:textId="77777777" w:rsidR="00291DEF" w:rsidRPr="00EE71AD"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14:paraId="1B395F99" w14:textId="77777777" w:rsidR="00291DEF" w:rsidRPr="00EE71AD" w:rsidRDefault="00291DEF" w:rsidP="00291DEF">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8">
    <w:p w14:paraId="03152B54"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14:paraId="5E2BF893"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50">
    <w:p w14:paraId="57EC0F0C" w14:textId="77777777" w:rsidR="00291DEF" w:rsidRPr="00207603" w:rsidRDefault="00291DEF" w:rsidP="00291DEF">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51">
    <w:p w14:paraId="33FD694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52">
    <w:p w14:paraId="1BBC69CD"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14:paraId="2633A49E"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14:paraId="263F1A01"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5">
    <w:p w14:paraId="5DD556F7" w14:textId="68D7AF0B" w:rsidR="00C04E96" w:rsidRPr="00EE71AD" w:rsidRDefault="00C04E96"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w:t>
      </w:r>
      <w:r w:rsidR="002548C6" w:rsidRPr="00EE71AD">
        <w:rPr>
          <w:rFonts w:ascii="Bookman Old Style" w:hAnsi="Bookman Old Style" w:cs="Times New Roman"/>
          <w:i/>
          <w:sz w:val="14"/>
          <w:szCs w:val="14"/>
        </w:rPr>
        <w:t>cómo</w:t>
      </w:r>
      <w:r w:rsidRPr="00EE71AD">
        <w:rPr>
          <w:rFonts w:ascii="Bookman Old Style" w:hAnsi="Bookman Old Style" w:cs="Times New Roman"/>
          <w:i/>
          <w:sz w:val="14"/>
          <w:szCs w:val="14"/>
        </w:rPr>
        <w:t xml:space="preserve"> desarrollan sus derechos y construyen sus proyectos y modelos de realización personal”. Corte Constitucional Sentencia T-516 de 1998 M.P.: Antonio Barrera.</w:t>
      </w:r>
    </w:p>
  </w:footnote>
  <w:footnote w:id="56">
    <w:p w14:paraId="5C762592" w14:textId="77777777" w:rsidR="00C04E96" w:rsidRPr="001E18FE" w:rsidRDefault="00C04E96" w:rsidP="006127F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14:paraId="3B8C407C"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0E92A4D9" w14:textId="77777777" w:rsidR="00C04E96" w:rsidRPr="00EE71AD" w:rsidRDefault="00C04E96" w:rsidP="00F36280">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14:paraId="2ACADD78"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9">
    <w:p w14:paraId="439F06C1" w14:textId="77777777" w:rsidR="00C04E96" w:rsidRPr="001E18FE" w:rsidRDefault="00C04E96" w:rsidP="00F3628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14:paraId="46D302DD" w14:textId="77777777" w:rsidR="00C04E96" w:rsidRPr="00EE71AD" w:rsidRDefault="00C04E96" w:rsidP="00F36280">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61">
    <w:p w14:paraId="3FEF961F" w14:textId="77777777" w:rsidR="00517032" w:rsidRPr="00EE71AD" w:rsidRDefault="00517032"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62">
    <w:p w14:paraId="655F068A" w14:textId="77777777" w:rsidR="00517032" w:rsidRPr="00207603" w:rsidRDefault="00517032" w:rsidP="00EE71A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14:paraId="1950F7B8"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14:paraId="523C0F55" w14:textId="77777777" w:rsidR="00C04E96" w:rsidRPr="001E18FE" w:rsidRDefault="00C04E96" w:rsidP="00F36280">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5">
    <w:p w14:paraId="65250046"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6">
    <w:p w14:paraId="629A2B2B" w14:textId="77777777" w:rsidR="00ED3ACD" w:rsidRPr="00EE71AD" w:rsidRDefault="00ED3ACD" w:rsidP="00EE71A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14:paraId="4F76EE22" w14:textId="77777777" w:rsidR="00ED3ACD" w:rsidRPr="003F1DF3" w:rsidRDefault="00ED3ACD" w:rsidP="00EE71A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14:paraId="682EE2EF" w14:textId="77777777" w:rsidR="00AF4882" w:rsidRPr="00EE71AD" w:rsidRDefault="00AF4882" w:rsidP="00EE71A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9">
    <w:p w14:paraId="69C4E614" w14:textId="77777777" w:rsidR="00AF4882" w:rsidRPr="00EE71AD" w:rsidRDefault="00AF4882" w:rsidP="00EE71A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70">
    <w:p w14:paraId="41BB85C0"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71">
    <w:p w14:paraId="5206F396"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14:paraId="09DA28CF" w14:textId="77777777" w:rsidR="00AF4882" w:rsidRPr="00AF4882" w:rsidRDefault="00AF4882" w:rsidP="00EE71A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14:paraId="115C4D44"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4">
    <w:p w14:paraId="1D0CE8CC"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5">
    <w:p w14:paraId="134B8B57"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14:paraId="542D490B"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14:paraId="58D8A290" w14:textId="77777777" w:rsidR="00987C6B" w:rsidRPr="00EE71AD" w:rsidRDefault="00987C6B" w:rsidP="00987C6B">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14:paraId="09E14562" w14:textId="77777777" w:rsidR="00987C6B" w:rsidRPr="003702B6" w:rsidRDefault="00987C6B" w:rsidP="00987C6B">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9">
    <w:p w14:paraId="222F76A1" w14:textId="77777777" w:rsidR="00987C6B" w:rsidRPr="00EE71AD" w:rsidRDefault="00987C6B" w:rsidP="00987C6B">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80">
    <w:p w14:paraId="11E6B08B" w14:textId="77777777" w:rsidR="00987C6B" w:rsidRPr="00EE71AD" w:rsidRDefault="00987C6B" w:rsidP="00987C6B">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14:paraId="29B5E81F" w14:textId="77777777" w:rsidR="00C04E96" w:rsidRPr="00EE71AD" w:rsidRDefault="00C04E96" w:rsidP="00987C6B">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14:paraId="4296B2A5" w14:textId="77777777" w:rsidR="00C04E96" w:rsidRPr="00987C6B" w:rsidRDefault="00C04E96" w:rsidP="00987C6B">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14:paraId="2A50456D" w14:textId="77777777" w:rsidR="00C04E96" w:rsidRPr="00EE71AD" w:rsidRDefault="00C04E96" w:rsidP="00987C6B">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14:paraId="64842623" w14:textId="356325A5"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w:t>
      </w:r>
      <w:r w:rsidR="002548C6" w:rsidRPr="00EE71AD">
        <w:rPr>
          <w:rFonts w:ascii="Bookman Old Style" w:eastAsia="Calibri" w:hAnsi="Bookman Old Style" w:cs="Times New Roman"/>
          <w:i/>
          <w:sz w:val="14"/>
          <w:szCs w:val="14"/>
        </w:rPr>
        <w:t>,” El</w:t>
      </w:r>
      <w:r w:rsidRPr="00EE71AD">
        <w:rPr>
          <w:rFonts w:ascii="Bookman Old Style" w:eastAsia="Calibri" w:hAnsi="Bookman Old Style" w:cs="Times New Roman"/>
          <w:i/>
          <w:sz w:val="14"/>
          <w:szCs w:val="14"/>
        </w:rPr>
        <w:t xml:space="preserve"> consumo de SPA en Colombia” 2015.</w:t>
      </w:r>
    </w:p>
  </w:footnote>
  <w:footnote w:id="85">
    <w:p w14:paraId="3CB7E7C1" w14:textId="77777777" w:rsidR="00C04E96" w:rsidRPr="00EC7C59" w:rsidRDefault="00C04E96" w:rsidP="00F36280">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6">
    <w:p w14:paraId="1B5A963D"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7">
    <w:p w14:paraId="7D4258DB"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8">
    <w:p w14:paraId="7557BA53"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9">
    <w:p w14:paraId="4193EA3A"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0">
    <w:p w14:paraId="628D9872"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1">
    <w:p w14:paraId="6D1E4466" w14:textId="77777777" w:rsidR="008F2EDE" w:rsidRPr="00EE71AD" w:rsidRDefault="008F2EDE" w:rsidP="00EE71A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14:paraId="3D32E7FA" w14:textId="77777777" w:rsidR="008F2EDE" w:rsidRPr="003702B6" w:rsidRDefault="008F2EDE" w:rsidP="00EE71A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93">
    <w:p w14:paraId="3510FF1D" w14:textId="77777777" w:rsidR="00C04E96" w:rsidRPr="00EE71AD" w:rsidRDefault="00C04E96" w:rsidP="001B4F3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14:paraId="6817D0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14:paraId="74A99DD2" w14:textId="77777777" w:rsidR="00C04E96" w:rsidRPr="00EE71AD" w:rsidRDefault="00C04E96" w:rsidP="00F36280">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14:paraId="2A187C4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7">
    <w:p w14:paraId="086359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8">
    <w:p w14:paraId="66702A53"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14:paraId="7814AEC1"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100">
    <w:p w14:paraId="4C8124F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14:paraId="1172EAB9"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2">
    <w:p w14:paraId="00A3856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103">
    <w:p w14:paraId="1C40FA1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4">
    <w:p w14:paraId="03C5FC27"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5">
    <w:p w14:paraId="5D6715F5"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14:paraId="56C23986"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14:paraId="74259FD8"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8">
    <w:p w14:paraId="62721D53"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9">
    <w:p w14:paraId="4EDBDCBB"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10">
    <w:p w14:paraId="63AFDB22"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11">
    <w:p w14:paraId="6C76821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12">
    <w:p w14:paraId="196984EC"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13">
    <w:p w14:paraId="001D2030"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78688BBB"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5">
    <w:p w14:paraId="5DC56AE9"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79A35D1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0B37EDAA"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8">
    <w:p w14:paraId="7BA55B3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9">
    <w:p w14:paraId="11A91943"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20">
    <w:p w14:paraId="1F3ACF85"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21">
    <w:p w14:paraId="2E37F34A"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22">
    <w:p w14:paraId="337D2CC9"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642BD8C2"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4">
    <w:p w14:paraId="01277E18"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5">
    <w:p w14:paraId="631D1C9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6">
    <w:p w14:paraId="6EDF67DC"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7">
    <w:p w14:paraId="0BA04A67"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8">
    <w:p w14:paraId="1F52FF0D" w14:textId="77777777" w:rsidR="00C04E96" w:rsidRPr="00422FC6" w:rsidRDefault="00C04E96" w:rsidP="00EE71A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DE3C6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35"/>
  </w:num>
  <w:num w:numId="4">
    <w:abstractNumId w:val="29"/>
  </w:num>
  <w:num w:numId="5">
    <w:abstractNumId w:val="11"/>
  </w:num>
  <w:num w:numId="6">
    <w:abstractNumId w:val="16"/>
  </w:num>
  <w:num w:numId="7">
    <w:abstractNumId w:val="7"/>
  </w:num>
  <w:num w:numId="8">
    <w:abstractNumId w:val="37"/>
  </w:num>
  <w:num w:numId="9">
    <w:abstractNumId w:val="0"/>
  </w:num>
  <w:num w:numId="10">
    <w:abstractNumId w:val="4"/>
  </w:num>
  <w:num w:numId="11">
    <w:abstractNumId w:val="34"/>
  </w:num>
  <w:num w:numId="12">
    <w:abstractNumId w:val="42"/>
  </w:num>
  <w:num w:numId="13">
    <w:abstractNumId w:val="22"/>
  </w:num>
  <w:num w:numId="14">
    <w:abstractNumId w:val="21"/>
  </w:num>
  <w:num w:numId="15">
    <w:abstractNumId w:val="5"/>
  </w:num>
  <w:num w:numId="16">
    <w:abstractNumId w:val="13"/>
  </w:num>
  <w:num w:numId="17">
    <w:abstractNumId w:val="41"/>
  </w:num>
  <w:num w:numId="18">
    <w:abstractNumId w:val="45"/>
  </w:num>
  <w:num w:numId="19">
    <w:abstractNumId w:val="30"/>
  </w:num>
  <w:num w:numId="20">
    <w:abstractNumId w:val="23"/>
  </w:num>
  <w:num w:numId="21">
    <w:abstractNumId w:val="15"/>
  </w:num>
  <w:num w:numId="22">
    <w:abstractNumId w:val="17"/>
  </w:num>
  <w:num w:numId="23">
    <w:abstractNumId w:val="3"/>
  </w:num>
  <w:num w:numId="24">
    <w:abstractNumId w:val="36"/>
  </w:num>
  <w:num w:numId="25">
    <w:abstractNumId w:val="47"/>
  </w:num>
  <w:num w:numId="26">
    <w:abstractNumId w:val="1"/>
  </w:num>
  <w:num w:numId="27">
    <w:abstractNumId w:val="40"/>
  </w:num>
  <w:num w:numId="28">
    <w:abstractNumId w:val="9"/>
  </w:num>
  <w:num w:numId="29">
    <w:abstractNumId w:val="19"/>
  </w:num>
  <w:num w:numId="30">
    <w:abstractNumId w:val="14"/>
  </w:num>
  <w:num w:numId="31">
    <w:abstractNumId w:val="12"/>
  </w:num>
  <w:num w:numId="32">
    <w:abstractNumId w:val="10"/>
  </w:num>
  <w:num w:numId="33">
    <w:abstractNumId w:val="43"/>
  </w:num>
  <w:num w:numId="34">
    <w:abstractNumId w:val="39"/>
  </w:num>
  <w:num w:numId="35">
    <w:abstractNumId w:val="25"/>
  </w:num>
  <w:num w:numId="36">
    <w:abstractNumId w:val="33"/>
  </w:num>
  <w:num w:numId="37">
    <w:abstractNumId w:val="2"/>
  </w:num>
  <w:num w:numId="38">
    <w:abstractNumId w:val="24"/>
  </w:num>
  <w:num w:numId="39">
    <w:abstractNumId w:val="44"/>
  </w:num>
  <w:num w:numId="40">
    <w:abstractNumId w:val="20"/>
  </w:num>
  <w:num w:numId="41">
    <w:abstractNumId w:val="32"/>
  </w:num>
  <w:num w:numId="42">
    <w:abstractNumId w:val="8"/>
  </w:num>
  <w:num w:numId="43">
    <w:abstractNumId w:val="6"/>
  </w:num>
  <w:num w:numId="44">
    <w:abstractNumId w:val="31"/>
  </w:num>
  <w:num w:numId="45">
    <w:abstractNumId w:val="26"/>
  </w:num>
  <w:num w:numId="46">
    <w:abstractNumId w:val="28"/>
    <w:lvlOverride w:ilvl="0">
      <w:startOverride w:val="2"/>
    </w:lvlOverride>
  </w:num>
  <w:num w:numId="47">
    <w:abstractNumId w:val="46"/>
    <w:lvlOverride w:ilvl="0">
      <w:startOverride w:val="3"/>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3F56"/>
    <w:rsid w:val="000046EF"/>
    <w:rsid w:val="0000563C"/>
    <w:rsid w:val="00005C61"/>
    <w:rsid w:val="00011ACE"/>
    <w:rsid w:val="00014056"/>
    <w:rsid w:val="000162F9"/>
    <w:rsid w:val="000270BE"/>
    <w:rsid w:val="000270E3"/>
    <w:rsid w:val="00042193"/>
    <w:rsid w:val="00046119"/>
    <w:rsid w:val="000512D5"/>
    <w:rsid w:val="00052783"/>
    <w:rsid w:val="00052A0B"/>
    <w:rsid w:val="0005414D"/>
    <w:rsid w:val="000606C7"/>
    <w:rsid w:val="000630CE"/>
    <w:rsid w:val="00065154"/>
    <w:rsid w:val="00070BD9"/>
    <w:rsid w:val="000722E4"/>
    <w:rsid w:val="000735F7"/>
    <w:rsid w:val="00076CAE"/>
    <w:rsid w:val="00077ACA"/>
    <w:rsid w:val="00077D8E"/>
    <w:rsid w:val="000803C9"/>
    <w:rsid w:val="00084112"/>
    <w:rsid w:val="0008764E"/>
    <w:rsid w:val="00094288"/>
    <w:rsid w:val="000A0C3F"/>
    <w:rsid w:val="000A1BE0"/>
    <w:rsid w:val="000A2331"/>
    <w:rsid w:val="000B09F5"/>
    <w:rsid w:val="000B0FBF"/>
    <w:rsid w:val="000B2201"/>
    <w:rsid w:val="000B60A8"/>
    <w:rsid w:val="000C074B"/>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34C17"/>
    <w:rsid w:val="00134CC2"/>
    <w:rsid w:val="00140323"/>
    <w:rsid w:val="00141696"/>
    <w:rsid w:val="00145FCB"/>
    <w:rsid w:val="00150D77"/>
    <w:rsid w:val="00153ABB"/>
    <w:rsid w:val="00153AC4"/>
    <w:rsid w:val="00157A02"/>
    <w:rsid w:val="00157FAD"/>
    <w:rsid w:val="001600E5"/>
    <w:rsid w:val="001610AF"/>
    <w:rsid w:val="00165E31"/>
    <w:rsid w:val="001669E7"/>
    <w:rsid w:val="00167B87"/>
    <w:rsid w:val="00170353"/>
    <w:rsid w:val="00172842"/>
    <w:rsid w:val="00176820"/>
    <w:rsid w:val="00177B55"/>
    <w:rsid w:val="00181D6F"/>
    <w:rsid w:val="0019651E"/>
    <w:rsid w:val="001A4AA6"/>
    <w:rsid w:val="001A51DC"/>
    <w:rsid w:val="001B1C71"/>
    <w:rsid w:val="001B3A9B"/>
    <w:rsid w:val="001B4F33"/>
    <w:rsid w:val="001C6197"/>
    <w:rsid w:val="001C7182"/>
    <w:rsid w:val="001C7E8C"/>
    <w:rsid w:val="001D0620"/>
    <w:rsid w:val="001D3C09"/>
    <w:rsid w:val="001D40DA"/>
    <w:rsid w:val="001D5D7C"/>
    <w:rsid w:val="001D665B"/>
    <w:rsid w:val="001E18FE"/>
    <w:rsid w:val="001E3462"/>
    <w:rsid w:val="001E3746"/>
    <w:rsid w:val="001E4F39"/>
    <w:rsid w:val="001E7A73"/>
    <w:rsid w:val="001F1D61"/>
    <w:rsid w:val="00201497"/>
    <w:rsid w:val="00201AD2"/>
    <w:rsid w:val="0020374C"/>
    <w:rsid w:val="0020530C"/>
    <w:rsid w:val="00205F20"/>
    <w:rsid w:val="0020675D"/>
    <w:rsid w:val="00211111"/>
    <w:rsid w:val="002129C0"/>
    <w:rsid w:val="00216F89"/>
    <w:rsid w:val="00217CCE"/>
    <w:rsid w:val="00221308"/>
    <w:rsid w:val="00226CBA"/>
    <w:rsid w:val="00227788"/>
    <w:rsid w:val="00233318"/>
    <w:rsid w:val="0023556E"/>
    <w:rsid w:val="00235DF2"/>
    <w:rsid w:val="00241DE6"/>
    <w:rsid w:val="00243376"/>
    <w:rsid w:val="00246DEE"/>
    <w:rsid w:val="00251DA4"/>
    <w:rsid w:val="002548C6"/>
    <w:rsid w:val="00254DDC"/>
    <w:rsid w:val="002566D0"/>
    <w:rsid w:val="002604DB"/>
    <w:rsid w:val="00265ECD"/>
    <w:rsid w:val="00267BD5"/>
    <w:rsid w:val="002722F9"/>
    <w:rsid w:val="00273E46"/>
    <w:rsid w:val="0027789D"/>
    <w:rsid w:val="002801C2"/>
    <w:rsid w:val="00282F87"/>
    <w:rsid w:val="00283E13"/>
    <w:rsid w:val="00283F81"/>
    <w:rsid w:val="00285E76"/>
    <w:rsid w:val="00286901"/>
    <w:rsid w:val="00286FA3"/>
    <w:rsid w:val="00291DEF"/>
    <w:rsid w:val="002921B3"/>
    <w:rsid w:val="0029353A"/>
    <w:rsid w:val="002B0DF0"/>
    <w:rsid w:val="002B11D9"/>
    <w:rsid w:val="002B1845"/>
    <w:rsid w:val="002B237E"/>
    <w:rsid w:val="002B31F4"/>
    <w:rsid w:val="002B66B2"/>
    <w:rsid w:val="002B69BC"/>
    <w:rsid w:val="002B6B8C"/>
    <w:rsid w:val="002C010E"/>
    <w:rsid w:val="002C24BA"/>
    <w:rsid w:val="002C4673"/>
    <w:rsid w:val="002E0C5F"/>
    <w:rsid w:val="002E130A"/>
    <w:rsid w:val="002E290A"/>
    <w:rsid w:val="002E341B"/>
    <w:rsid w:val="002E6292"/>
    <w:rsid w:val="002F0580"/>
    <w:rsid w:val="002F4AFF"/>
    <w:rsid w:val="002F5A1E"/>
    <w:rsid w:val="002F6C67"/>
    <w:rsid w:val="002F7282"/>
    <w:rsid w:val="0030440D"/>
    <w:rsid w:val="0030792C"/>
    <w:rsid w:val="0031300C"/>
    <w:rsid w:val="00316FEF"/>
    <w:rsid w:val="00331601"/>
    <w:rsid w:val="003329AA"/>
    <w:rsid w:val="00334B2E"/>
    <w:rsid w:val="00347F08"/>
    <w:rsid w:val="0035640A"/>
    <w:rsid w:val="00360CAA"/>
    <w:rsid w:val="0036234C"/>
    <w:rsid w:val="0036381C"/>
    <w:rsid w:val="00364A84"/>
    <w:rsid w:val="00366E17"/>
    <w:rsid w:val="00374D1A"/>
    <w:rsid w:val="003860F8"/>
    <w:rsid w:val="003A0C32"/>
    <w:rsid w:val="003B34DE"/>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13FBA"/>
    <w:rsid w:val="0041471B"/>
    <w:rsid w:val="004151CA"/>
    <w:rsid w:val="00422FC6"/>
    <w:rsid w:val="00435FBF"/>
    <w:rsid w:val="00440DC4"/>
    <w:rsid w:val="00442047"/>
    <w:rsid w:val="00444E3F"/>
    <w:rsid w:val="00451771"/>
    <w:rsid w:val="00452196"/>
    <w:rsid w:val="004561C0"/>
    <w:rsid w:val="00461422"/>
    <w:rsid w:val="00464CCE"/>
    <w:rsid w:val="00466547"/>
    <w:rsid w:val="00467F87"/>
    <w:rsid w:val="00470A0B"/>
    <w:rsid w:val="00470AE7"/>
    <w:rsid w:val="00474C2B"/>
    <w:rsid w:val="004750AD"/>
    <w:rsid w:val="00475543"/>
    <w:rsid w:val="004762E0"/>
    <w:rsid w:val="0048234F"/>
    <w:rsid w:val="00484D81"/>
    <w:rsid w:val="00485B08"/>
    <w:rsid w:val="004869B9"/>
    <w:rsid w:val="0048735C"/>
    <w:rsid w:val="004920BC"/>
    <w:rsid w:val="00497756"/>
    <w:rsid w:val="00497D15"/>
    <w:rsid w:val="004A0B24"/>
    <w:rsid w:val="004A7291"/>
    <w:rsid w:val="004B07EF"/>
    <w:rsid w:val="004C1887"/>
    <w:rsid w:val="004C6694"/>
    <w:rsid w:val="004D0A44"/>
    <w:rsid w:val="004D2009"/>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85043"/>
    <w:rsid w:val="00590D4F"/>
    <w:rsid w:val="0059124F"/>
    <w:rsid w:val="00591595"/>
    <w:rsid w:val="00591A30"/>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17A"/>
    <w:rsid w:val="005D2978"/>
    <w:rsid w:val="005D4361"/>
    <w:rsid w:val="005D43AE"/>
    <w:rsid w:val="005E1CCC"/>
    <w:rsid w:val="005E2983"/>
    <w:rsid w:val="005F3882"/>
    <w:rsid w:val="005F39A4"/>
    <w:rsid w:val="005F6149"/>
    <w:rsid w:val="00604B59"/>
    <w:rsid w:val="00604EFF"/>
    <w:rsid w:val="0060522E"/>
    <w:rsid w:val="0061072A"/>
    <w:rsid w:val="006127F0"/>
    <w:rsid w:val="0061336F"/>
    <w:rsid w:val="006136C0"/>
    <w:rsid w:val="0061619A"/>
    <w:rsid w:val="006163DA"/>
    <w:rsid w:val="0061646A"/>
    <w:rsid w:val="00616FE2"/>
    <w:rsid w:val="00617787"/>
    <w:rsid w:val="00621929"/>
    <w:rsid w:val="00623A7D"/>
    <w:rsid w:val="00631E18"/>
    <w:rsid w:val="00635E45"/>
    <w:rsid w:val="00641104"/>
    <w:rsid w:val="00642B4D"/>
    <w:rsid w:val="006430E7"/>
    <w:rsid w:val="00644E30"/>
    <w:rsid w:val="00647748"/>
    <w:rsid w:val="00650B75"/>
    <w:rsid w:val="00651345"/>
    <w:rsid w:val="006533F9"/>
    <w:rsid w:val="0065417F"/>
    <w:rsid w:val="00666F3D"/>
    <w:rsid w:val="00670E79"/>
    <w:rsid w:val="00670F1C"/>
    <w:rsid w:val="00671451"/>
    <w:rsid w:val="00673F79"/>
    <w:rsid w:val="006816C1"/>
    <w:rsid w:val="006905C7"/>
    <w:rsid w:val="006A0E61"/>
    <w:rsid w:val="006A4844"/>
    <w:rsid w:val="006A4C6D"/>
    <w:rsid w:val="006B01C7"/>
    <w:rsid w:val="006B5396"/>
    <w:rsid w:val="006B558E"/>
    <w:rsid w:val="006B572D"/>
    <w:rsid w:val="006C0501"/>
    <w:rsid w:val="006C75A9"/>
    <w:rsid w:val="006D04A0"/>
    <w:rsid w:val="006D3ED5"/>
    <w:rsid w:val="006E0162"/>
    <w:rsid w:val="006E2F1E"/>
    <w:rsid w:val="006E36F8"/>
    <w:rsid w:val="006F1A50"/>
    <w:rsid w:val="00700900"/>
    <w:rsid w:val="00701F81"/>
    <w:rsid w:val="00705BAC"/>
    <w:rsid w:val="00706B77"/>
    <w:rsid w:val="00710A07"/>
    <w:rsid w:val="00723215"/>
    <w:rsid w:val="00726850"/>
    <w:rsid w:val="00731C8C"/>
    <w:rsid w:val="007450AC"/>
    <w:rsid w:val="007457F0"/>
    <w:rsid w:val="00750120"/>
    <w:rsid w:val="00753C73"/>
    <w:rsid w:val="00753CAF"/>
    <w:rsid w:val="007570F5"/>
    <w:rsid w:val="00762188"/>
    <w:rsid w:val="00762334"/>
    <w:rsid w:val="007625A8"/>
    <w:rsid w:val="00767B0B"/>
    <w:rsid w:val="00770D70"/>
    <w:rsid w:val="00773D52"/>
    <w:rsid w:val="00774D1B"/>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5F3D"/>
    <w:rsid w:val="007E657A"/>
    <w:rsid w:val="007E733E"/>
    <w:rsid w:val="007F5631"/>
    <w:rsid w:val="007F6FA2"/>
    <w:rsid w:val="008029BE"/>
    <w:rsid w:val="00804A2C"/>
    <w:rsid w:val="00804E6C"/>
    <w:rsid w:val="00805F5F"/>
    <w:rsid w:val="00807589"/>
    <w:rsid w:val="008364B1"/>
    <w:rsid w:val="00840C22"/>
    <w:rsid w:val="0084110A"/>
    <w:rsid w:val="008450BB"/>
    <w:rsid w:val="00847EF6"/>
    <w:rsid w:val="00856688"/>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B5AD9"/>
    <w:rsid w:val="008D6C03"/>
    <w:rsid w:val="008E0EB9"/>
    <w:rsid w:val="008E22B6"/>
    <w:rsid w:val="008E35A3"/>
    <w:rsid w:val="008E6A66"/>
    <w:rsid w:val="008F056B"/>
    <w:rsid w:val="008F0CBB"/>
    <w:rsid w:val="008F2EDE"/>
    <w:rsid w:val="008F6E74"/>
    <w:rsid w:val="00900BD5"/>
    <w:rsid w:val="0090168D"/>
    <w:rsid w:val="009039AD"/>
    <w:rsid w:val="0090453E"/>
    <w:rsid w:val="00905273"/>
    <w:rsid w:val="00905CE1"/>
    <w:rsid w:val="00923A94"/>
    <w:rsid w:val="009264F9"/>
    <w:rsid w:val="00927776"/>
    <w:rsid w:val="0093147F"/>
    <w:rsid w:val="00944F2F"/>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294A"/>
    <w:rsid w:val="009A3BA5"/>
    <w:rsid w:val="009A70F4"/>
    <w:rsid w:val="009B3D66"/>
    <w:rsid w:val="009B3FAF"/>
    <w:rsid w:val="009B6C3A"/>
    <w:rsid w:val="009C4756"/>
    <w:rsid w:val="009C479B"/>
    <w:rsid w:val="009C61AC"/>
    <w:rsid w:val="009D312C"/>
    <w:rsid w:val="009D7859"/>
    <w:rsid w:val="009D7CC7"/>
    <w:rsid w:val="009E16C0"/>
    <w:rsid w:val="009E179B"/>
    <w:rsid w:val="009F60DE"/>
    <w:rsid w:val="00A04304"/>
    <w:rsid w:val="00A10791"/>
    <w:rsid w:val="00A11C45"/>
    <w:rsid w:val="00A14815"/>
    <w:rsid w:val="00A201BB"/>
    <w:rsid w:val="00A20BDA"/>
    <w:rsid w:val="00A21D0F"/>
    <w:rsid w:val="00A2457B"/>
    <w:rsid w:val="00A32C8F"/>
    <w:rsid w:val="00A35E2B"/>
    <w:rsid w:val="00A43FAE"/>
    <w:rsid w:val="00A47C6C"/>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3671B"/>
    <w:rsid w:val="00B4025D"/>
    <w:rsid w:val="00B53136"/>
    <w:rsid w:val="00B54281"/>
    <w:rsid w:val="00B5664B"/>
    <w:rsid w:val="00B605AC"/>
    <w:rsid w:val="00B6105E"/>
    <w:rsid w:val="00B61122"/>
    <w:rsid w:val="00B61766"/>
    <w:rsid w:val="00B61B80"/>
    <w:rsid w:val="00B700C8"/>
    <w:rsid w:val="00B735CE"/>
    <w:rsid w:val="00B80FC0"/>
    <w:rsid w:val="00B81B8D"/>
    <w:rsid w:val="00B84B23"/>
    <w:rsid w:val="00B91948"/>
    <w:rsid w:val="00B91B6E"/>
    <w:rsid w:val="00B92CCE"/>
    <w:rsid w:val="00B94F08"/>
    <w:rsid w:val="00BA1722"/>
    <w:rsid w:val="00BA5C86"/>
    <w:rsid w:val="00BA6309"/>
    <w:rsid w:val="00BB26C0"/>
    <w:rsid w:val="00BB2D93"/>
    <w:rsid w:val="00BB5B9A"/>
    <w:rsid w:val="00BB5BB4"/>
    <w:rsid w:val="00BC6E1D"/>
    <w:rsid w:val="00BD0133"/>
    <w:rsid w:val="00BD3008"/>
    <w:rsid w:val="00BD32FE"/>
    <w:rsid w:val="00BD3F1E"/>
    <w:rsid w:val="00BD5121"/>
    <w:rsid w:val="00BE056A"/>
    <w:rsid w:val="00BE7408"/>
    <w:rsid w:val="00BF3C27"/>
    <w:rsid w:val="00BF54C2"/>
    <w:rsid w:val="00C016AF"/>
    <w:rsid w:val="00C020B8"/>
    <w:rsid w:val="00C02AAD"/>
    <w:rsid w:val="00C04E96"/>
    <w:rsid w:val="00C05C64"/>
    <w:rsid w:val="00C10A78"/>
    <w:rsid w:val="00C1238B"/>
    <w:rsid w:val="00C13DE8"/>
    <w:rsid w:val="00C173FD"/>
    <w:rsid w:val="00C20600"/>
    <w:rsid w:val="00C23346"/>
    <w:rsid w:val="00C2727C"/>
    <w:rsid w:val="00C33C66"/>
    <w:rsid w:val="00C33DA6"/>
    <w:rsid w:val="00C352F6"/>
    <w:rsid w:val="00C37B21"/>
    <w:rsid w:val="00C45082"/>
    <w:rsid w:val="00C45625"/>
    <w:rsid w:val="00C467D1"/>
    <w:rsid w:val="00C53D01"/>
    <w:rsid w:val="00C61547"/>
    <w:rsid w:val="00C624D6"/>
    <w:rsid w:val="00C63160"/>
    <w:rsid w:val="00C65360"/>
    <w:rsid w:val="00C66E26"/>
    <w:rsid w:val="00C67227"/>
    <w:rsid w:val="00C7479B"/>
    <w:rsid w:val="00C817BF"/>
    <w:rsid w:val="00C84051"/>
    <w:rsid w:val="00C8439A"/>
    <w:rsid w:val="00C90F5C"/>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E71F2"/>
    <w:rsid w:val="00CF0C66"/>
    <w:rsid w:val="00CF48D8"/>
    <w:rsid w:val="00D03B38"/>
    <w:rsid w:val="00D05A5D"/>
    <w:rsid w:val="00D06788"/>
    <w:rsid w:val="00D101BB"/>
    <w:rsid w:val="00D1322B"/>
    <w:rsid w:val="00D13D58"/>
    <w:rsid w:val="00D22848"/>
    <w:rsid w:val="00D27C48"/>
    <w:rsid w:val="00D318E3"/>
    <w:rsid w:val="00D333F2"/>
    <w:rsid w:val="00D3676C"/>
    <w:rsid w:val="00D42C20"/>
    <w:rsid w:val="00D44225"/>
    <w:rsid w:val="00D56D03"/>
    <w:rsid w:val="00D6651D"/>
    <w:rsid w:val="00D67A46"/>
    <w:rsid w:val="00D71D62"/>
    <w:rsid w:val="00D728A4"/>
    <w:rsid w:val="00D7305A"/>
    <w:rsid w:val="00D740BA"/>
    <w:rsid w:val="00D76136"/>
    <w:rsid w:val="00D854B0"/>
    <w:rsid w:val="00DA10E6"/>
    <w:rsid w:val="00DA1347"/>
    <w:rsid w:val="00DA389D"/>
    <w:rsid w:val="00DA6F85"/>
    <w:rsid w:val="00DA77BE"/>
    <w:rsid w:val="00DB2005"/>
    <w:rsid w:val="00DB51C1"/>
    <w:rsid w:val="00DB66BE"/>
    <w:rsid w:val="00DC06BB"/>
    <w:rsid w:val="00DC48E0"/>
    <w:rsid w:val="00DC49AD"/>
    <w:rsid w:val="00DD1BF4"/>
    <w:rsid w:val="00DD272D"/>
    <w:rsid w:val="00DD418E"/>
    <w:rsid w:val="00DD5051"/>
    <w:rsid w:val="00DE2721"/>
    <w:rsid w:val="00DE3C8F"/>
    <w:rsid w:val="00DF1363"/>
    <w:rsid w:val="00DF146E"/>
    <w:rsid w:val="00DF4052"/>
    <w:rsid w:val="00DF40EE"/>
    <w:rsid w:val="00DF426A"/>
    <w:rsid w:val="00DF4698"/>
    <w:rsid w:val="00DF6048"/>
    <w:rsid w:val="00E02A58"/>
    <w:rsid w:val="00E02F41"/>
    <w:rsid w:val="00E044E7"/>
    <w:rsid w:val="00E06635"/>
    <w:rsid w:val="00E07E5E"/>
    <w:rsid w:val="00E110A9"/>
    <w:rsid w:val="00E11144"/>
    <w:rsid w:val="00E111BB"/>
    <w:rsid w:val="00E1154E"/>
    <w:rsid w:val="00E12D89"/>
    <w:rsid w:val="00E13EFE"/>
    <w:rsid w:val="00E2053B"/>
    <w:rsid w:val="00E21E2B"/>
    <w:rsid w:val="00E244CF"/>
    <w:rsid w:val="00E26778"/>
    <w:rsid w:val="00E3517E"/>
    <w:rsid w:val="00E35558"/>
    <w:rsid w:val="00E37B3B"/>
    <w:rsid w:val="00E44C45"/>
    <w:rsid w:val="00E45D35"/>
    <w:rsid w:val="00E51EBE"/>
    <w:rsid w:val="00E52C4F"/>
    <w:rsid w:val="00E5373A"/>
    <w:rsid w:val="00E55B3E"/>
    <w:rsid w:val="00E60301"/>
    <w:rsid w:val="00E606C3"/>
    <w:rsid w:val="00E63CEF"/>
    <w:rsid w:val="00E71FBE"/>
    <w:rsid w:val="00E762A1"/>
    <w:rsid w:val="00E819E1"/>
    <w:rsid w:val="00E83A56"/>
    <w:rsid w:val="00E921B4"/>
    <w:rsid w:val="00E972B3"/>
    <w:rsid w:val="00EB478E"/>
    <w:rsid w:val="00EC206B"/>
    <w:rsid w:val="00EC741C"/>
    <w:rsid w:val="00EC7C59"/>
    <w:rsid w:val="00ED3ACD"/>
    <w:rsid w:val="00ED4C76"/>
    <w:rsid w:val="00ED7616"/>
    <w:rsid w:val="00EE71AD"/>
    <w:rsid w:val="00EE7F6C"/>
    <w:rsid w:val="00EF0058"/>
    <w:rsid w:val="00EF1152"/>
    <w:rsid w:val="00EF13D8"/>
    <w:rsid w:val="00EF33D7"/>
    <w:rsid w:val="00F041AE"/>
    <w:rsid w:val="00F06C98"/>
    <w:rsid w:val="00F15185"/>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6AB5"/>
    <w:rsid w:val="00FB72B5"/>
    <w:rsid w:val="00FC09FB"/>
    <w:rsid w:val="00FC0BF1"/>
    <w:rsid w:val="00FC7B1B"/>
    <w:rsid w:val="00FD77AB"/>
    <w:rsid w:val="00FD7AFD"/>
    <w:rsid w:val="00FE120A"/>
    <w:rsid w:val="00FE1D30"/>
    <w:rsid w:val="00FE2E01"/>
    <w:rsid w:val="00FE4DF6"/>
    <w:rsid w:val="00FE4E72"/>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D318E3"/>
  </w:style>
  <w:style w:type="character" w:styleId="nfasis">
    <w:name w:val="Emphasis"/>
    <w:basedOn w:val="Fuentedeprrafopredeter"/>
    <w:uiPriority w:val="20"/>
    <w:qFormat/>
    <w:rsid w:val="00A43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425225139">
      <w:bodyDiv w:val="1"/>
      <w:marLeft w:val="0"/>
      <w:marRight w:val="0"/>
      <w:marTop w:val="0"/>
      <w:marBottom w:val="0"/>
      <w:divBdr>
        <w:top w:val="none" w:sz="0" w:space="0" w:color="auto"/>
        <w:left w:val="none" w:sz="0" w:space="0" w:color="auto"/>
        <w:bottom w:val="none" w:sz="0" w:space="0" w:color="auto"/>
        <w:right w:val="none" w:sz="0" w:space="0" w:color="auto"/>
      </w:divBdr>
    </w:div>
    <w:div w:id="503937246">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666907530">
      <w:bodyDiv w:val="1"/>
      <w:marLeft w:val="0"/>
      <w:marRight w:val="0"/>
      <w:marTop w:val="0"/>
      <w:marBottom w:val="0"/>
      <w:divBdr>
        <w:top w:val="none" w:sz="0" w:space="0" w:color="auto"/>
        <w:left w:val="none" w:sz="0" w:space="0" w:color="auto"/>
        <w:bottom w:val="none" w:sz="0" w:space="0" w:color="auto"/>
        <w:right w:val="none" w:sz="0" w:space="0" w:color="auto"/>
      </w:divBdr>
    </w:div>
    <w:div w:id="723218987">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231622814">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39304446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5818137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535540853">
      <w:bodyDiv w:val="1"/>
      <w:marLeft w:val="0"/>
      <w:marRight w:val="0"/>
      <w:marTop w:val="0"/>
      <w:marBottom w:val="0"/>
      <w:divBdr>
        <w:top w:val="none" w:sz="0" w:space="0" w:color="auto"/>
        <w:left w:val="none" w:sz="0" w:space="0" w:color="auto"/>
        <w:bottom w:val="none" w:sz="0" w:space="0" w:color="auto"/>
        <w:right w:val="none" w:sz="0" w:space="0" w:color="auto"/>
      </w:divBdr>
    </w:div>
    <w:div w:id="1538816434">
      <w:bodyDiv w:val="1"/>
      <w:marLeft w:val="0"/>
      <w:marRight w:val="0"/>
      <w:marTop w:val="0"/>
      <w:marBottom w:val="0"/>
      <w:divBdr>
        <w:top w:val="none" w:sz="0" w:space="0" w:color="auto"/>
        <w:left w:val="none" w:sz="0" w:space="0" w:color="auto"/>
        <w:bottom w:val="none" w:sz="0" w:space="0" w:color="auto"/>
        <w:right w:val="none" w:sz="0" w:space="0" w:color="auto"/>
      </w:divBdr>
    </w:div>
    <w:div w:id="1682660459">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86351688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42570098">
      <w:bodyDiv w:val="1"/>
      <w:marLeft w:val="0"/>
      <w:marRight w:val="0"/>
      <w:marTop w:val="0"/>
      <w:marBottom w:val="0"/>
      <w:divBdr>
        <w:top w:val="none" w:sz="0" w:space="0" w:color="auto"/>
        <w:left w:val="none" w:sz="0" w:space="0" w:color="auto"/>
        <w:bottom w:val="none" w:sz="0" w:space="0" w:color="auto"/>
        <w:right w:val="none" w:sz="0" w:space="0" w:color="auto"/>
      </w:divBdr>
    </w:div>
    <w:div w:id="1991326448">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tios.dane.gov.co/cnpv-presentacion/sr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as.org.uk/uploads/pdf/News%20stories/dnutt-lancet-01111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www.globalcommissionondrugs.org/wp-content/uploads/2018/11/SPA-2018_SDGPaper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prisonstudies.org/country/colombia" TargetMode="Externa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vox.com/2014/5/19/5727712/drug-alcohol-death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fileserver.idpc.net/library/dpa_marijuana_legalization_report_v8_0.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70C8345683E64997E65077FBAE2026" ma:contentTypeVersion="13" ma:contentTypeDescription="Crear nuevo documento." ma:contentTypeScope="" ma:versionID="47ee29c009513e08eef707e98885b9a3">
  <xsd:schema xmlns:xsd="http://www.w3.org/2001/XMLSchema" xmlns:xs="http://www.w3.org/2001/XMLSchema" xmlns:p="http://schemas.microsoft.com/office/2006/metadata/properties" xmlns:ns3="909c9c54-0507-4a53-b1e7-85aa2cba4377" xmlns:ns4="b17c41e8-3747-4b5a-ab0e-0b65d571119b" targetNamespace="http://schemas.microsoft.com/office/2006/metadata/properties" ma:root="true" ma:fieldsID="6354c1348823190f4e4005664cdd54f1" ns3:_="" ns4:_="">
    <xsd:import namespace="909c9c54-0507-4a53-b1e7-85aa2cba4377"/>
    <xsd:import namespace="b17c41e8-3747-4b5a-ab0e-0b65d57111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c9c54-0507-4a53-b1e7-85aa2cba437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c41e8-3747-4b5a-ab0e-0b65d5711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E17A-46B8-40D7-B52C-0AD2067E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c9c54-0507-4a53-b1e7-85aa2cba4377"/>
    <ds:schemaRef ds:uri="b17c41e8-3747-4b5a-ab0e-0b65d57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E5B2-A114-4BB8-B2E9-6D101DE93C53}">
  <ds:schemaRefs>
    <ds:schemaRef ds:uri="http://schemas.microsoft.com/sharepoint/v3/contenttype/forms"/>
  </ds:schemaRefs>
</ds:datastoreItem>
</file>

<file path=customXml/itemProps3.xml><?xml version="1.0" encoding="utf-8"?>
<ds:datastoreItem xmlns:ds="http://schemas.openxmlformats.org/officeDocument/2006/customXml" ds:itemID="{02FFD984-0C7C-46CA-BCD7-ED94AA9E8032}">
  <ds:schemaRefs>
    <ds:schemaRef ds:uri="http://schemas.microsoft.com/office/2006/documentManagement/types"/>
    <ds:schemaRef ds:uri="b17c41e8-3747-4b5a-ab0e-0b65d571119b"/>
    <ds:schemaRef ds:uri="http://purl.org/dc/elements/1.1/"/>
    <ds:schemaRef ds:uri="http://schemas.microsoft.com/office/2006/metadata/properties"/>
    <ds:schemaRef ds:uri="http://schemas.microsoft.com/office/infopath/2007/PartnerControls"/>
    <ds:schemaRef ds:uri="http://purl.org/dc/terms/"/>
    <ds:schemaRef ds:uri="909c9c54-0507-4a53-b1e7-85aa2cba437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ADA381-5A11-43BA-9628-1F9AF424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22462</Words>
  <Characters>123541</Characters>
  <Application>Microsoft Office Word</Application>
  <DocSecurity>0</DocSecurity>
  <Lines>1029</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Yury Patricia Pinzon Benavides</cp:lastModifiedBy>
  <cp:revision>2</cp:revision>
  <cp:lastPrinted>2020-07-20T04:47:00Z</cp:lastPrinted>
  <dcterms:created xsi:type="dcterms:W3CDTF">2022-08-10T21:54:00Z</dcterms:created>
  <dcterms:modified xsi:type="dcterms:W3CDTF">2022-08-10T21:54:00Z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0x0101009070C8345683E64997E65077FBAE2026</vt:lpwstr>
  </property>
</Properties>
</file>